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2F17" w14:textId="258E7756" w:rsidR="00E3071C" w:rsidRPr="002B202B" w:rsidRDefault="00957F1E" w:rsidP="002B202B">
      <w:pPr>
        <w:pStyle w:val="Logooncover"/>
      </w:pPr>
      <w:r>
        <w:rPr>
          <w:noProof/>
          <w:lang w:eastAsia="en-AU"/>
        </w:rPr>
        <mc:AlternateContent>
          <mc:Choice Requires="wps">
            <w:drawing>
              <wp:anchor distT="0" distB="0" distL="114300" distR="114300" simplePos="0" relativeHeight="251657218" behindDoc="1" locked="1" layoutInCell="1" allowOverlap="1" wp14:anchorId="6584EDE4" wp14:editId="687484CA">
                <wp:simplePos x="0" y="0"/>
                <wp:positionH relativeFrom="page">
                  <wp:posOffset>0</wp:posOffset>
                </wp:positionH>
                <wp:positionV relativeFrom="page">
                  <wp:posOffset>0</wp:posOffset>
                </wp:positionV>
                <wp:extent cx="7563600" cy="583200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600" cy="5832000"/>
                        </a:xfrm>
                        <a:prstGeom prst="rect">
                          <a:avLst/>
                        </a:prstGeom>
                        <a:solidFill>
                          <a:srgbClr val="FF79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430C2" id="Rectangle 4" o:spid="_x0000_s1026" alt="&quot;&quot;" style="position:absolute;margin-left:0;margin-top:0;width:595.55pt;height:459.2pt;z-index:-251659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" fillcolor="#ff79ff" stroked="f">
                <w10:wrap anchorx="page" anchory="page"/>
                <w10:anchorlock/>
              </v:rect>
            </w:pict>
          </mc:Fallback>
        </mc:AlternateContent>
      </w:r>
      <w:r w:rsidR="00164AC5">
        <w:rPr>
          <w:noProof/>
          <w:lang w:eastAsia="en-AU"/>
        </w:rPr>
        <w:drawing>
          <wp:inline distT="0" distB="0" distL="0" distR="0" wp14:anchorId="04A96D1F" wp14:editId="1440525A">
            <wp:extent cx="2638297" cy="1481455"/>
            <wp:effectExtent l="0" t="0" r="0" b="4445"/>
            <wp:docPr id="1" name="Picture 1" descr="Safe and Equal - Standing strong against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fe and Equal - Standing strong against family violence"/>
                    <pic:cNvPicPr/>
                  </pic:nvPicPr>
                  <pic:blipFill rotWithShape="1">
                    <a:blip r:embed="rId11">
                      <a:extLst>
                        <a:ext uri="{96DAC541-7B7A-43D3-8B79-37D633B846F1}">
                          <asvg:svgBlip xmlns:asvg="http://schemas.microsoft.com/office/drawing/2016/SVG/main" r:embed="rId12"/>
                        </a:ext>
                      </a:extLst>
                    </a:blip>
                    <a:srcRect l="12859" t="14101" r="11656" b="13703"/>
                    <a:stretch/>
                  </pic:blipFill>
                  <pic:spPr bwMode="auto">
                    <a:xfrm>
                      <a:off x="0" y="0"/>
                      <a:ext cx="2641096" cy="1483027"/>
                    </a:xfrm>
                    <a:prstGeom prst="rect">
                      <a:avLst/>
                    </a:prstGeom>
                    <a:ln>
                      <a:noFill/>
                    </a:ln>
                    <a:extLst>
                      <a:ext uri="{53640926-AAD7-44D8-BBD7-CCE9431645EC}">
                        <a14:shadowObscured xmlns:a14="http://schemas.microsoft.com/office/drawing/2010/main"/>
                      </a:ext>
                    </a:extLst>
                  </pic:spPr>
                </pic:pic>
              </a:graphicData>
            </a:graphic>
          </wp:inline>
        </w:drawing>
      </w:r>
    </w:p>
    <w:sdt>
      <w:sdtPr>
        <w:rPr>
          <w:rFonts w:eastAsiaTheme="minorEastAsia" w:cstheme="minorBidi"/>
          <w:b w:val="0"/>
          <w:spacing w:val="0"/>
          <w:kern w:val="0"/>
          <w:sz w:val="22"/>
          <w:szCs w:val="22"/>
        </w:rPr>
        <w:id w:val="376516335"/>
        <w:docPartObj>
          <w:docPartGallery w:val="Cover Pages"/>
          <w:docPartUnique/>
        </w:docPartObj>
      </w:sdtPr>
      <w:sdtContent>
        <w:p w14:paraId="34C6B253" w14:textId="57681F5A" w:rsidR="00957F1E" w:rsidRDefault="00BC165D" w:rsidP="00C36985">
          <w:pPr>
            <w:pStyle w:val="Title"/>
          </w:pPr>
          <w:r>
            <w:t>Talking about change</w:t>
          </w:r>
        </w:p>
        <w:p w14:paraId="7060294F" w14:textId="77777777" w:rsidR="00EA3893" w:rsidRDefault="00EA3893" w:rsidP="00EA3893">
          <w:pPr>
            <w:spacing w:before="1600"/>
            <w:rPr>
              <w:rFonts w:asciiTheme="majorHAnsi" w:eastAsiaTheme="majorEastAsia" w:hAnsiTheme="majorHAnsi" w:cstheme="majorHAnsi"/>
              <w:b/>
              <w:bCs/>
              <w:iCs/>
              <w:color w:val="auto"/>
              <w:spacing w:val="15"/>
              <w:sz w:val="48"/>
              <w:szCs w:val="48"/>
            </w:rPr>
          </w:pPr>
          <w:r w:rsidRPr="00EA3893">
            <w:rPr>
              <w:rFonts w:asciiTheme="majorHAnsi" w:eastAsiaTheme="majorEastAsia" w:hAnsiTheme="majorHAnsi" w:cstheme="majorHAnsi"/>
              <w:b/>
              <w:bCs/>
              <w:iCs/>
              <w:color w:val="auto"/>
              <w:spacing w:val="15"/>
              <w:sz w:val="48"/>
              <w:szCs w:val="48"/>
            </w:rPr>
            <w:t>Learnings from the transition to</w:t>
          </w:r>
          <w:r>
            <w:rPr>
              <w:rFonts w:asciiTheme="majorHAnsi" w:eastAsiaTheme="majorEastAsia" w:hAnsiTheme="majorHAnsi" w:cstheme="majorHAnsi"/>
              <w:b/>
              <w:bCs/>
              <w:iCs/>
              <w:color w:val="auto"/>
              <w:spacing w:val="15"/>
              <w:sz w:val="48"/>
              <w:szCs w:val="48"/>
            </w:rPr>
            <w:t xml:space="preserve"> </w:t>
          </w:r>
          <w:r w:rsidRPr="00EA3893">
            <w:rPr>
              <w:rFonts w:asciiTheme="majorHAnsi" w:eastAsiaTheme="majorEastAsia" w:hAnsiTheme="majorHAnsi" w:cstheme="majorHAnsi"/>
              <w:b/>
              <w:bCs/>
              <w:iCs/>
              <w:color w:val="auto"/>
              <w:spacing w:val="15"/>
              <w:sz w:val="48"/>
              <w:szCs w:val="48"/>
            </w:rPr>
            <w:t>working online in primary prevention</w:t>
          </w:r>
        </w:p>
        <w:p w14:paraId="36C42743" w14:textId="32CFFE6B" w:rsidR="00C36985" w:rsidRPr="00EA3893" w:rsidRDefault="00C36985" w:rsidP="00EA3893">
          <w:pPr>
            <w:spacing w:before="1600"/>
            <w:rPr>
              <w:rFonts w:asciiTheme="majorHAnsi" w:eastAsiaTheme="majorEastAsia" w:hAnsiTheme="majorHAnsi" w:cstheme="majorHAnsi"/>
              <w:b/>
              <w:bCs/>
              <w:iCs/>
              <w:color w:val="auto"/>
              <w:spacing w:val="15"/>
              <w:sz w:val="48"/>
              <w:szCs w:val="48"/>
            </w:rPr>
          </w:pPr>
          <w:r w:rsidRPr="00626305">
            <w:t>Safe and Equal acknowledges Aboriginal and Torres Strait Islander peoples as the traditional and ongoing custodians of the lands on which we live and work. We pay respects to Elders past and present. Sovereignty has never been ceded.</w:t>
          </w:r>
        </w:p>
        <w:p w14:paraId="1E22F6E8" w14:textId="77777777" w:rsidR="00C36985" w:rsidRPr="00626305" w:rsidRDefault="00C36985" w:rsidP="00C36985">
          <w:r w:rsidRPr="00626305">
            <w:t>Safe and Equal is the peak body for specialist family violence services that provide support to victim survivors in Victoria.</w:t>
          </w:r>
        </w:p>
        <w:p w14:paraId="3E66D349" w14:textId="7C2325FA" w:rsidR="00C36985" w:rsidRDefault="00C36985" w:rsidP="00C36985">
          <w:r w:rsidRPr="0090197E">
            <w:t xml:space="preserve">Learn more - watch </w:t>
          </w:r>
          <w:hyperlink r:id="rId13" w:history="1">
            <w:r w:rsidR="00EE4494" w:rsidRPr="00EE4494">
              <w:rPr>
                <w:rStyle w:val="Hyperlink"/>
              </w:rPr>
              <w:t xml:space="preserve">Safe and Equal </w:t>
            </w:r>
            <w:proofErr w:type="spellStart"/>
            <w:r w:rsidR="00EE4494" w:rsidRPr="00EE4494">
              <w:rPr>
                <w:rStyle w:val="Hyperlink"/>
              </w:rPr>
              <w:t>youtube</w:t>
            </w:r>
            <w:proofErr w:type="spellEnd"/>
            <w:r w:rsidR="00EE4494" w:rsidRPr="00EE4494">
              <w:rPr>
                <w:rStyle w:val="Hyperlink"/>
              </w:rPr>
              <w:t xml:space="preserve"> </w:t>
            </w:r>
            <w:r w:rsidRPr="00EE4494">
              <w:rPr>
                <w:rStyle w:val="Hyperlink"/>
              </w:rPr>
              <w:t>video</w:t>
            </w:r>
            <w:r w:rsidR="0090197E" w:rsidRPr="00EE4494">
              <w:rPr>
                <w:rStyle w:val="Hyperlink"/>
              </w:rPr>
              <w:t>: What is Resistance?</w:t>
            </w:r>
          </w:hyperlink>
        </w:p>
        <w:p w14:paraId="072E5DA3" w14:textId="591736F6" w:rsidR="00A123C4" w:rsidRDefault="0029388A">
          <w:pPr>
            <w:rPr>
              <w:bCs/>
              <w:szCs w:val="20"/>
            </w:rPr>
          </w:pPr>
          <w:r>
            <w:rPr>
              <w:bCs/>
              <w:szCs w:val="20"/>
            </w:rPr>
            <w:lastRenderedPageBreak/>
            <w:br w:type="page"/>
          </w:r>
        </w:p>
        <w:p w14:paraId="51822821" w14:textId="77777777" w:rsidR="005E381E" w:rsidRDefault="005E381E" w:rsidP="00D52D20">
          <w:pPr>
            <w:rPr>
              <w:shd w:val="clear" w:color="auto" w:fill="FFFFFF"/>
            </w:rPr>
            <w:sectPr w:rsidR="005E381E" w:rsidSect="00EA3893">
              <w:pgSz w:w="11907" w:h="16840" w:code="9"/>
              <w:pgMar w:top="709" w:right="1021" w:bottom="1418" w:left="1418" w:header="567" w:footer="340" w:gutter="0"/>
              <w:cols w:space="708"/>
              <w:docGrid w:linePitch="360"/>
            </w:sectPr>
          </w:pPr>
        </w:p>
        <w:p w14:paraId="3DDB0656" w14:textId="538B0681" w:rsidR="0029388A" w:rsidRPr="0096348F" w:rsidRDefault="00000000" w:rsidP="00D52D20">
          <w:pPr>
            <w:rPr>
              <w:shd w:val="clear" w:color="auto" w:fill="FFFFFF"/>
            </w:rPr>
          </w:pPr>
        </w:p>
      </w:sdtContent>
    </w:sdt>
    <w:sdt>
      <w:sdtPr>
        <w:rPr>
          <w:rFonts w:ascii="Calibri Light" w:eastAsiaTheme="minorEastAsia" w:hAnsi="Calibri Light" w:cstheme="minorBidi"/>
          <w:b w:val="0"/>
          <w:bCs w:val="0"/>
          <w:color w:val="17365D" w:themeColor="text2" w:themeShade="BF"/>
          <w:sz w:val="22"/>
          <w:szCs w:val="22"/>
        </w:rPr>
        <w:id w:val="-1790125227"/>
        <w:docPartObj>
          <w:docPartGallery w:val="Table of Contents"/>
          <w:docPartUnique/>
        </w:docPartObj>
      </w:sdtPr>
      <w:sdtEndPr>
        <w:rPr>
          <w:rFonts w:ascii="Arial" w:hAnsi="Arial"/>
          <w:noProof/>
          <w:color w:val="auto"/>
        </w:rPr>
      </w:sdtEndPr>
      <w:sdtContent>
        <w:p w14:paraId="04326856" w14:textId="5AF6C1A2" w:rsidR="006244ED" w:rsidRPr="00FB2D80" w:rsidRDefault="006244ED" w:rsidP="00D52D20">
          <w:pPr>
            <w:pStyle w:val="TOCHeading"/>
            <w:pageBreakBefore w:val="0"/>
            <w:rPr>
              <w:rStyle w:val="Heading1Char"/>
              <w:b/>
              <w:bCs/>
            </w:rPr>
          </w:pPr>
          <w:r w:rsidRPr="00FB2D80">
            <w:rPr>
              <w:rStyle w:val="Heading1Char"/>
              <w:b/>
              <w:bCs/>
            </w:rPr>
            <w:t>Content</w:t>
          </w:r>
          <w:r w:rsidR="00EA3893">
            <w:rPr>
              <w:rStyle w:val="Heading1Char"/>
              <w:b/>
              <w:bCs/>
            </w:rPr>
            <w:t>s</w:t>
          </w:r>
        </w:p>
        <w:p w14:paraId="7D147EA2" w14:textId="60684788" w:rsidR="00C64293" w:rsidRDefault="00494746">
          <w:pPr>
            <w:pStyle w:val="TOC1"/>
            <w:rPr>
              <w:rFonts w:asciiTheme="minorHAnsi" w:hAnsiTheme="minorHAnsi"/>
              <w:noProof/>
              <w:color w:val="auto"/>
              <w:lang w:eastAsia="en-AU"/>
            </w:rPr>
          </w:pPr>
          <w:r>
            <w:rPr>
              <w:color w:val="auto"/>
            </w:rPr>
            <w:fldChar w:fldCharType="begin"/>
          </w:r>
          <w:r>
            <w:rPr>
              <w:color w:val="auto"/>
            </w:rPr>
            <w:instrText xml:space="preserve"> TOC \o "1-1" \h \z \u </w:instrText>
          </w:r>
          <w:r>
            <w:rPr>
              <w:color w:val="auto"/>
            </w:rPr>
            <w:fldChar w:fldCharType="separate"/>
          </w:r>
          <w:hyperlink w:anchor="_Toc101274646" w:history="1">
            <w:r w:rsidR="00C64293" w:rsidRPr="00B97731">
              <w:rPr>
                <w:rStyle w:val="Hyperlink"/>
                <w:noProof/>
              </w:rPr>
              <w:t>What is resistance?</w:t>
            </w:r>
            <w:r w:rsidR="00C64293">
              <w:rPr>
                <w:noProof/>
                <w:webHidden/>
              </w:rPr>
              <w:tab/>
            </w:r>
            <w:r w:rsidR="00C64293">
              <w:rPr>
                <w:noProof/>
                <w:webHidden/>
              </w:rPr>
              <w:fldChar w:fldCharType="begin"/>
            </w:r>
            <w:r w:rsidR="00C64293">
              <w:rPr>
                <w:noProof/>
                <w:webHidden/>
              </w:rPr>
              <w:instrText xml:space="preserve"> PAGEREF _Toc101274646 \h </w:instrText>
            </w:r>
            <w:r w:rsidR="00C64293">
              <w:rPr>
                <w:noProof/>
                <w:webHidden/>
              </w:rPr>
            </w:r>
            <w:r w:rsidR="00C64293">
              <w:rPr>
                <w:noProof/>
                <w:webHidden/>
              </w:rPr>
              <w:fldChar w:fldCharType="separate"/>
            </w:r>
            <w:r w:rsidR="00C64293">
              <w:rPr>
                <w:noProof/>
                <w:webHidden/>
              </w:rPr>
              <w:t>3</w:t>
            </w:r>
            <w:r w:rsidR="00C64293">
              <w:rPr>
                <w:noProof/>
                <w:webHidden/>
              </w:rPr>
              <w:fldChar w:fldCharType="end"/>
            </w:r>
          </w:hyperlink>
        </w:p>
        <w:p w14:paraId="164B0C3C" w14:textId="4AF9CA68" w:rsidR="00C64293" w:rsidRDefault="00000000">
          <w:pPr>
            <w:pStyle w:val="TOC1"/>
            <w:rPr>
              <w:rFonts w:asciiTheme="minorHAnsi" w:hAnsiTheme="minorHAnsi"/>
              <w:noProof/>
              <w:color w:val="auto"/>
              <w:lang w:eastAsia="en-AU"/>
            </w:rPr>
          </w:pPr>
          <w:hyperlink w:anchor="_Toc101274647" w:history="1">
            <w:r w:rsidR="00C64293" w:rsidRPr="00B97731">
              <w:rPr>
                <w:rStyle w:val="Hyperlink"/>
                <w:noProof/>
              </w:rPr>
              <w:t>Types</w:t>
            </w:r>
            <w:r w:rsidR="00C64293" w:rsidRPr="00B97731">
              <w:rPr>
                <w:rStyle w:val="Hyperlink"/>
                <w:noProof/>
                <w:spacing w:val="-2"/>
              </w:rPr>
              <w:t xml:space="preserve"> </w:t>
            </w:r>
            <w:r w:rsidR="00C64293" w:rsidRPr="00B97731">
              <w:rPr>
                <w:rStyle w:val="Hyperlink"/>
                <w:noProof/>
              </w:rPr>
              <w:t>of</w:t>
            </w:r>
            <w:r w:rsidR="00C64293" w:rsidRPr="00B97731">
              <w:rPr>
                <w:rStyle w:val="Hyperlink"/>
                <w:noProof/>
                <w:spacing w:val="-1"/>
              </w:rPr>
              <w:t xml:space="preserve"> </w:t>
            </w:r>
            <w:r w:rsidR="00C64293" w:rsidRPr="00B97731">
              <w:rPr>
                <w:rStyle w:val="Hyperlink"/>
                <w:noProof/>
              </w:rPr>
              <w:t>resistance</w:t>
            </w:r>
            <w:r w:rsidR="00C64293">
              <w:rPr>
                <w:noProof/>
                <w:webHidden/>
              </w:rPr>
              <w:tab/>
            </w:r>
            <w:r w:rsidR="00C64293">
              <w:rPr>
                <w:noProof/>
                <w:webHidden/>
              </w:rPr>
              <w:fldChar w:fldCharType="begin"/>
            </w:r>
            <w:r w:rsidR="00C64293">
              <w:rPr>
                <w:noProof/>
                <w:webHidden/>
              </w:rPr>
              <w:instrText xml:space="preserve"> PAGEREF _Toc101274647 \h </w:instrText>
            </w:r>
            <w:r w:rsidR="00C64293">
              <w:rPr>
                <w:noProof/>
                <w:webHidden/>
              </w:rPr>
            </w:r>
            <w:r w:rsidR="00C64293">
              <w:rPr>
                <w:noProof/>
                <w:webHidden/>
              </w:rPr>
              <w:fldChar w:fldCharType="separate"/>
            </w:r>
            <w:r w:rsidR="00C64293">
              <w:rPr>
                <w:noProof/>
                <w:webHidden/>
              </w:rPr>
              <w:t>4</w:t>
            </w:r>
            <w:r w:rsidR="00C64293">
              <w:rPr>
                <w:noProof/>
                <w:webHidden/>
              </w:rPr>
              <w:fldChar w:fldCharType="end"/>
            </w:r>
          </w:hyperlink>
        </w:p>
        <w:p w14:paraId="58210554" w14:textId="58AF9153" w:rsidR="00C64293" w:rsidRDefault="00000000">
          <w:pPr>
            <w:pStyle w:val="TOC1"/>
            <w:rPr>
              <w:rFonts w:asciiTheme="minorHAnsi" w:hAnsiTheme="minorHAnsi"/>
              <w:noProof/>
              <w:color w:val="auto"/>
              <w:lang w:eastAsia="en-AU"/>
            </w:rPr>
          </w:pPr>
          <w:hyperlink w:anchor="_Toc101274648" w:history="1">
            <w:r w:rsidR="00C64293" w:rsidRPr="00B97731">
              <w:rPr>
                <w:rStyle w:val="Hyperlink"/>
                <w:noProof/>
              </w:rPr>
              <w:t>Where to invest your energy</w:t>
            </w:r>
            <w:r w:rsidR="00C64293">
              <w:rPr>
                <w:noProof/>
                <w:webHidden/>
              </w:rPr>
              <w:tab/>
            </w:r>
            <w:r w:rsidR="00C64293">
              <w:rPr>
                <w:noProof/>
                <w:webHidden/>
              </w:rPr>
              <w:fldChar w:fldCharType="begin"/>
            </w:r>
            <w:r w:rsidR="00C64293">
              <w:rPr>
                <w:noProof/>
                <w:webHidden/>
              </w:rPr>
              <w:instrText xml:space="preserve"> PAGEREF _Toc101274648 \h </w:instrText>
            </w:r>
            <w:r w:rsidR="00C64293">
              <w:rPr>
                <w:noProof/>
                <w:webHidden/>
              </w:rPr>
            </w:r>
            <w:r w:rsidR="00C64293">
              <w:rPr>
                <w:noProof/>
                <w:webHidden/>
              </w:rPr>
              <w:fldChar w:fldCharType="separate"/>
            </w:r>
            <w:r w:rsidR="00C64293">
              <w:rPr>
                <w:noProof/>
                <w:webHidden/>
              </w:rPr>
              <w:t>5</w:t>
            </w:r>
            <w:r w:rsidR="00C64293">
              <w:rPr>
                <w:noProof/>
                <w:webHidden/>
              </w:rPr>
              <w:fldChar w:fldCharType="end"/>
            </w:r>
          </w:hyperlink>
        </w:p>
        <w:p w14:paraId="05D655D5" w14:textId="1D8CBC11" w:rsidR="00C64293" w:rsidRDefault="00000000">
          <w:pPr>
            <w:pStyle w:val="TOC1"/>
            <w:rPr>
              <w:rFonts w:asciiTheme="minorHAnsi" w:hAnsiTheme="minorHAnsi"/>
              <w:noProof/>
              <w:color w:val="auto"/>
              <w:lang w:eastAsia="en-AU"/>
            </w:rPr>
          </w:pPr>
          <w:hyperlink w:anchor="_Toc101274649" w:history="1">
            <w:r w:rsidR="00C64293" w:rsidRPr="00B97731">
              <w:rPr>
                <w:rStyle w:val="Hyperlink"/>
                <w:noProof/>
              </w:rPr>
              <w:t>Framing strategies</w:t>
            </w:r>
            <w:r w:rsidR="00C64293">
              <w:rPr>
                <w:noProof/>
                <w:webHidden/>
              </w:rPr>
              <w:tab/>
            </w:r>
            <w:r w:rsidR="00C64293">
              <w:rPr>
                <w:noProof/>
                <w:webHidden/>
              </w:rPr>
              <w:fldChar w:fldCharType="begin"/>
            </w:r>
            <w:r w:rsidR="00C64293">
              <w:rPr>
                <w:noProof/>
                <w:webHidden/>
              </w:rPr>
              <w:instrText xml:space="preserve"> PAGEREF _Toc101274649 \h </w:instrText>
            </w:r>
            <w:r w:rsidR="00C64293">
              <w:rPr>
                <w:noProof/>
                <w:webHidden/>
              </w:rPr>
            </w:r>
            <w:r w:rsidR="00C64293">
              <w:rPr>
                <w:noProof/>
                <w:webHidden/>
              </w:rPr>
              <w:fldChar w:fldCharType="separate"/>
            </w:r>
            <w:r w:rsidR="00C64293">
              <w:rPr>
                <w:noProof/>
                <w:webHidden/>
              </w:rPr>
              <w:t>6</w:t>
            </w:r>
            <w:r w:rsidR="00C64293">
              <w:rPr>
                <w:noProof/>
                <w:webHidden/>
              </w:rPr>
              <w:fldChar w:fldCharType="end"/>
            </w:r>
          </w:hyperlink>
        </w:p>
        <w:p w14:paraId="0AA78674" w14:textId="2AF50E17" w:rsidR="00C64293" w:rsidRDefault="00000000">
          <w:pPr>
            <w:pStyle w:val="TOC1"/>
            <w:rPr>
              <w:rFonts w:asciiTheme="minorHAnsi" w:hAnsiTheme="minorHAnsi"/>
              <w:noProof/>
              <w:color w:val="auto"/>
              <w:lang w:eastAsia="en-AU"/>
            </w:rPr>
          </w:pPr>
          <w:hyperlink w:anchor="_Toc101274650" w:history="1">
            <w:r w:rsidR="00C64293" w:rsidRPr="00B97731">
              <w:rPr>
                <w:rStyle w:val="Hyperlink"/>
                <w:noProof/>
              </w:rPr>
              <w:t>Framing</w:t>
            </w:r>
            <w:r w:rsidR="00C64293" w:rsidRPr="00B97731">
              <w:rPr>
                <w:rStyle w:val="Hyperlink"/>
                <w:noProof/>
                <w:spacing w:val="-2"/>
              </w:rPr>
              <w:t xml:space="preserve"> </w:t>
            </w:r>
            <w:r w:rsidR="00C64293" w:rsidRPr="00B97731">
              <w:rPr>
                <w:rStyle w:val="Hyperlink"/>
                <w:noProof/>
              </w:rPr>
              <w:t>a</w:t>
            </w:r>
            <w:r w:rsidR="00C64293" w:rsidRPr="00B97731">
              <w:rPr>
                <w:rStyle w:val="Hyperlink"/>
                <w:noProof/>
                <w:spacing w:val="-2"/>
              </w:rPr>
              <w:t xml:space="preserve"> </w:t>
            </w:r>
            <w:r w:rsidR="00C64293" w:rsidRPr="00B97731">
              <w:rPr>
                <w:rStyle w:val="Hyperlink"/>
                <w:noProof/>
              </w:rPr>
              <w:t>response</w:t>
            </w:r>
            <w:r w:rsidR="00C64293">
              <w:rPr>
                <w:noProof/>
                <w:webHidden/>
              </w:rPr>
              <w:tab/>
            </w:r>
            <w:r w:rsidR="00C64293">
              <w:rPr>
                <w:noProof/>
                <w:webHidden/>
              </w:rPr>
              <w:fldChar w:fldCharType="begin"/>
            </w:r>
            <w:r w:rsidR="00C64293">
              <w:rPr>
                <w:noProof/>
                <w:webHidden/>
              </w:rPr>
              <w:instrText xml:space="preserve"> PAGEREF _Toc101274650 \h </w:instrText>
            </w:r>
            <w:r w:rsidR="00C64293">
              <w:rPr>
                <w:noProof/>
                <w:webHidden/>
              </w:rPr>
            </w:r>
            <w:r w:rsidR="00C64293">
              <w:rPr>
                <w:noProof/>
                <w:webHidden/>
              </w:rPr>
              <w:fldChar w:fldCharType="separate"/>
            </w:r>
            <w:r w:rsidR="00C64293">
              <w:rPr>
                <w:noProof/>
                <w:webHidden/>
              </w:rPr>
              <w:t>8</w:t>
            </w:r>
            <w:r w:rsidR="00C64293">
              <w:rPr>
                <w:noProof/>
                <w:webHidden/>
              </w:rPr>
              <w:fldChar w:fldCharType="end"/>
            </w:r>
          </w:hyperlink>
        </w:p>
        <w:p w14:paraId="57DDBADA" w14:textId="60BD1521" w:rsidR="00C64293" w:rsidRDefault="00000000">
          <w:pPr>
            <w:pStyle w:val="TOC1"/>
            <w:rPr>
              <w:rFonts w:asciiTheme="minorHAnsi" w:hAnsiTheme="minorHAnsi"/>
              <w:noProof/>
              <w:color w:val="auto"/>
              <w:lang w:eastAsia="en-AU"/>
            </w:rPr>
          </w:pPr>
          <w:hyperlink w:anchor="_Toc101274651" w:history="1">
            <w:r w:rsidR="00C64293" w:rsidRPr="00B97731">
              <w:rPr>
                <w:rStyle w:val="Hyperlink"/>
                <w:noProof/>
              </w:rPr>
              <w:t>Example resistance statement response</w:t>
            </w:r>
            <w:r w:rsidR="00C64293">
              <w:rPr>
                <w:noProof/>
                <w:webHidden/>
              </w:rPr>
              <w:tab/>
            </w:r>
            <w:r w:rsidR="00C64293">
              <w:rPr>
                <w:noProof/>
                <w:webHidden/>
              </w:rPr>
              <w:fldChar w:fldCharType="begin"/>
            </w:r>
            <w:r w:rsidR="00C64293">
              <w:rPr>
                <w:noProof/>
                <w:webHidden/>
              </w:rPr>
              <w:instrText xml:space="preserve"> PAGEREF _Toc101274651 \h </w:instrText>
            </w:r>
            <w:r w:rsidR="00C64293">
              <w:rPr>
                <w:noProof/>
                <w:webHidden/>
              </w:rPr>
            </w:r>
            <w:r w:rsidR="00C64293">
              <w:rPr>
                <w:noProof/>
                <w:webHidden/>
              </w:rPr>
              <w:fldChar w:fldCharType="separate"/>
            </w:r>
            <w:r w:rsidR="00C64293">
              <w:rPr>
                <w:noProof/>
                <w:webHidden/>
              </w:rPr>
              <w:t>9</w:t>
            </w:r>
            <w:r w:rsidR="00C64293">
              <w:rPr>
                <w:noProof/>
                <w:webHidden/>
              </w:rPr>
              <w:fldChar w:fldCharType="end"/>
            </w:r>
          </w:hyperlink>
        </w:p>
        <w:p w14:paraId="70563332" w14:textId="6F91E167" w:rsidR="00C64293" w:rsidRDefault="00000000">
          <w:pPr>
            <w:pStyle w:val="TOC1"/>
            <w:rPr>
              <w:rFonts w:asciiTheme="minorHAnsi" w:hAnsiTheme="minorHAnsi"/>
              <w:noProof/>
              <w:color w:val="auto"/>
              <w:lang w:eastAsia="en-AU"/>
            </w:rPr>
          </w:pPr>
          <w:hyperlink w:anchor="_Toc101274652" w:history="1">
            <w:r w:rsidR="00C64293" w:rsidRPr="00B97731">
              <w:rPr>
                <w:rStyle w:val="Hyperlink"/>
                <w:noProof/>
              </w:rPr>
              <w:t>Tips</w:t>
            </w:r>
            <w:r w:rsidR="00C64293" w:rsidRPr="00B97731">
              <w:rPr>
                <w:rStyle w:val="Hyperlink"/>
                <w:noProof/>
                <w:spacing w:val="-2"/>
              </w:rPr>
              <w:t xml:space="preserve"> </w:t>
            </w:r>
            <w:r w:rsidR="00C64293" w:rsidRPr="00B97731">
              <w:rPr>
                <w:rStyle w:val="Hyperlink"/>
                <w:noProof/>
              </w:rPr>
              <w:t>when</w:t>
            </w:r>
            <w:r w:rsidR="00C64293" w:rsidRPr="00B97731">
              <w:rPr>
                <w:rStyle w:val="Hyperlink"/>
                <w:noProof/>
                <w:spacing w:val="-2"/>
              </w:rPr>
              <w:t xml:space="preserve"> </w:t>
            </w:r>
            <w:r w:rsidR="00C64293" w:rsidRPr="00B97731">
              <w:rPr>
                <w:rStyle w:val="Hyperlink"/>
                <w:noProof/>
              </w:rPr>
              <w:t>responding</w:t>
            </w:r>
            <w:r w:rsidR="00C64293" w:rsidRPr="00B97731">
              <w:rPr>
                <w:rStyle w:val="Hyperlink"/>
                <w:noProof/>
                <w:spacing w:val="-2"/>
              </w:rPr>
              <w:t xml:space="preserve"> </w:t>
            </w:r>
            <w:r w:rsidR="00C64293" w:rsidRPr="00B97731">
              <w:rPr>
                <w:rStyle w:val="Hyperlink"/>
                <w:noProof/>
              </w:rPr>
              <w:t>to</w:t>
            </w:r>
            <w:r w:rsidR="00C64293" w:rsidRPr="00B97731">
              <w:rPr>
                <w:rStyle w:val="Hyperlink"/>
                <w:noProof/>
                <w:spacing w:val="-2"/>
              </w:rPr>
              <w:t xml:space="preserve"> </w:t>
            </w:r>
            <w:r w:rsidR="00C64293" w:rsidRPr="00B97731">
              <w:rPr>
                <w:rStyle w:val="Hyperlink"/>
                <w:noProof/>
              </w:rPr>
              <w:t>resistance</w:t>
            </w:r>
            <w:r w:rsidR="00C64293">
              <w:rPr>
                <w:noProof/>
                <w:webHidden/>
              </w:rPr>
              <w:tab/>
            </w:r>
            <w:r w:rsidR="00C64293">
              <w:rPr>
                <w:noProof/>
                <w:webHidden/>
              </w:rPr>
              <w:fldChar w:fldCharType="begin"/>
            </w:r>
            <w:r w:rsidR="00C64293">
              <w:rPr>
                <w:noProof/>
                <w:webHidden/>
              </w:rPr>
              <w:instrText xml:space="preserve"> PAGEREF _Toc101274652 \h </w:instrText>
            </w:r>
            <w:r w:rsidR="00C64293">
              <w:rPr>
                <w:noProof/>
                <w:webHidden/>
              </w:rPr>
            </w:r>
            <w:r w:rsidR="00C64293">
              <w:rPr>
                <w:noProof/>
                <w:webHidden/>
              </w:rPr>
              <w:fldChar w:fldCharType="separate"/>
            </w:r>
            <w:r w:rsidR="00C64293">
              <w:rPr>
                <w:noProof/>
                <w:webHidden/>
              </w:rPr>
              <w:t>10</w:t>
            </w:r>
            <w:r w:rsidR="00C64293">
              <w:rPr>
                <w:noProof/>
                <w:webHidden/>
              </w:rPr>
              <w:fldChar w:fldCharType="end"/>
            </w:r>
          </w:hyperlink>
        </w:p>
        <w:p w14:paraId="35F6F961" w14:textId="044B1DAB" w:rsidR="00C64293" w:rsidRDefault="00000000">
          <w:pPr>
            <w:pStyle w:val="TOC1"/>
            <w:rPr>
              <w:rFonts w:asciiTheme="minorHAnsi" w:hAnsiTheme="minorHAnsi"/>
              <w:noProof/>
              <w:color w:val="auto"/>
              <w:lang w:eastAsia="en-AU"/>
            </w:rPr>
          </w:pPr>
          <w:hyperlink w:anchor="_Toc101274653" w:history="1">
            <w:r w:rsidR="00C64293" w:rsidRPr="00B97731">
              <w:rPr>
                <w:rStyle w:val="Hyperlink"/>
                <w:noProof/>
              </w:rPr>
              <w:t>Worker wellbeing</w:t>
            </w:r>
            <w:r w:rsidR="00C64293">
              <w:rPr>
                <w:noProof/>
                <w:webHidden/>
              </w:rPr>
              <w:tab/>
            </w:r>
            <w:r w:rsidR="00C64293">
              <w:rPr>
                <w:noProof/>
                <w:webHidden/>
              </w:rPr>
              <w:fldChar w:fldCharType="begin"/>
            </w:r>
            <w:r w:rsidR="00C64293">
              <w:rPr>
                <w:noProof/>
                <w:webHidden/>
              </w:rPr>
              <w:instrText xml:space="preserve"> PAGEREF _Toc101274653 \h </w:instrText>
            </w:r>
            <w:r w:rsidR="00C64293">
              <w:rPr>
                <w:noProof/>
                <w:webHidden/>
              </w:rPr>
            </w:r>
            <w:r w:rsidR="00C64293">
              <w:rPr>
                <w:noProof/>
                <w:webHidden/>
              </w:rPr>
              <w:fldChar w:fldCharType="separate"/>
            </w:r>
            <w:r w:rsidR="00C64293">
              <w:rPr>
                <w:noProof/>
                <w:webHidden/>
              </w:rPr>
              <w:t>12</w:t>
            </w:r>
            <w:r w:rsidR="00C64293">
              <w:rPr>
                <w:noProof/>
                <w:webHidden/>
              </w:rPr>
              <w:fldChar w:fldCharType="end"/>
            </w:r>
          </w:hyperlink>
        </w:p>
        <w:p w14:paraId="5EC9CD96" w14:textId="64B45BF3" w:rsidR="00C64293" w:rsidRDefault="00000000">
          <w:pPr>
            <w:pStyle w:val="TOC1"/>
            <w:rPr>
              <w:rFonts w:asciiTheme="minorHAnsi" w:hAnsiTheme="minorHAnsi"/>
              <w:noProof/>
              <w:color w:val="auto"/>
              <w:lang w:eastAsia="en-AU"/>
            </w:rPr>
          </w:pPr>
          <w:hyperlink w:anchor="_Toc101274654" w:history="1">
            <w:r w:rsidR="00C64293" w:rsidRPr="00B97731">
              <w:rPr>
                <w:rStyle w:val="Hyperlink"/>
                <w:noProof/>
              </w:rPr>
              <w:t>Sustaining</w:t>
            </w:r>
            <w:r w:rsidR="00C64293" w:rsidRPr="00B97731">
              <w:rPr>
                <w:rStyle w:val="Hyperlink"/>
                <w:noProof/>
                <w:spacing w:val="-3"/>
              </w:rPr>
              <w:t xml:space="preserve"> </w:t>
            </w:r>
            <w:r w:rsidR="00C64293" w:rsidRPr="00B97731">
              <w:rPr>
                <w:rStyle w:val="Hyperlink"/>
                <w:noProof/>
              </w:rPr>
              <w:t>worker</w:t>
            </w:r>
            <w:r w:rsidR="00C64293" w:rsidRPr="00B97731">
              <w:rPr>
                <w:rStyle w:val="Hyperlink"/>
                <w:noProof/>
                <w:spacing w:val="-2"/>
              </w:rPr>
              <w:t xml:space="preserve"> </w:t>
            </w:r>
            <w:r w:rsidR="00C64293" w:rsidRPr="00B97731">
              <w:rPr>
                <w:rStyle w:val="Hyperlink"/>
                <w:noProof/>
              </w:rPr>
              <w:t>wellbeing</w:t>
            </w:r>
            <w:r w:rsidR="00C64293">
              <w:rPr>
                <w:noProof/>
                <w:webHidden/>
              </w:rPr>
              <w:tab/>
            </w:r>
            <w:r w:rsidR="00C64293">
              <w:rPr>
                <w:noProof/>
                <w:webHidden/>
              </w:rPr>
              <w:fldChar w:fldCharType="begin"/>
            </w:r>
            <w:r w:rsidR="00C64293">
              <w:rPr>
                <w:noProof/>
                <w:webHidden/>
              </w:rPr>
              <w:instrText xml:space="preserve"> PAGEREF _Toc101274654 \h </w:instrText>
            </w:r>
            <w:r w:rsidR="00C64293">
              <w:rPr>
                <w:noProof/>
                <w:webHidden/>
              </w:rPr>
            </w:r>
            <w:r w:rsidR="00C64293">
              <w:rPr>
                <w:noProof/>
                <w:webHidden/>
              </w:rPr>
              <w:fldChar w:fldCharType="separate"/>
            </w:r>
            <w:r w:rsidR="00C64293">
              <w:rPr>
                <w:noProof/>
                <w:webHidden/>
              </w:rPr>
              <w:t>13</w:t>
            </w:r>
            <w:r w:rsidR="00C64293">
              <w:rPr>
                <w:noProof/>
                <w:webHidden/>
              </w:rPr>
              <w:fldChar w:fldCharType="end"/>
            </w:r>
          </w:hyperlink>
        </w:p>
        <w:p w14:paraId="2FD753BE" w14:textId="7EE0DB1D" w:rsidR="00971ED9" w:rsidRDefault="00494746">
          <w:pPr>
            <w:rPr>
              <w:noProof/>
              <w:color w:val="auto"/>
            </w:rPr>
          </w:pPr>
          <w:r>
            <w:rPr>
              <w:color w:val="auto"/>
            </w:rPr>
            <w:fldChar w:fldCharType="end"/>
          </w:r>
        </w:p>
      </w:sdtContent>
    </w:sdt>
    <w:p w14:paraId="55700FD2" w14:textId="79DC7548" w:rsidR="005B21BB" w:rsidRDefault="005B21BB">
      <w:pPr>
        <w:rPr>
          <w:rFonts w:asciiTheme="minorHAnsi" w:hAnsiTheme="minorHAnsi"/>
          <w:i/>
          <w:iCs/>
          <w:color w:val="auto"/>
          <w:sz w:val="26"/>
          <w:szCs w:val="26"/>
          <w:lang w:eastAsia="en-AU"/>
        </w:rPr>
      </w:pPr>
      <w:r>
        <w:rPr>
          <w:i/>
          <w:iCs/>
        </w:rPr>
        <w:br w:type="page"/>
      </w:r>
    </w:p>
    <w:p w14:paraId="50228C1C" w14:textId="77777777" w:rsidR="005B21BB" w:rsidRDefault="005B21BB" w:rsidP="00120BE4">
      <w:pPr>
        <w:pStyle w:val="Heading1"/>
      </w:pPr>
      <w:bookmarkStart w:id="0" w:name="_Toc101274646"/>
      <w:r>
        <w:lastRenderedPageBreak/>
        <w:t>What is resistance?</w:t>
      </w:r>
      <w:bookmarkEnd w:id="0"/>
    </w:p>
    <w:p w14:paraId="5865E038" w14:textId="77777777" w:rsidR="005B21BB" w:rsidRDefault="005B21BB" w:rsidP="00EE34F9">
      <w:r>
        <w:t>Resistance describes the various forms of push back generated by policies, programs and</w:t>
      </w:r>
      <w:r>
        <w:rPr>
          <w:spacing w:val="1"/>
        </w:rPr>
        <w:t xml:space="preserve"> </w:t>
      </w:r>
      <w:r>
        <w:t>perspectives that aim to create progressive social change.</w:t>
      </w:r>
      <w:r>
        <w:rPr>
          <w:spacing w:val="1"/>
        </w:rPr>
        <w:t xml:space="preserve"> </w:t>
      </w:r>
      <w:r>
        <w:t>Anyone working to create social change will inevitably</w:t>
      </w:r>
      <w:r>
        <w:rPr>
          <w:spacing w:val="-1"/>
        </w:rPr>
        <w:t xml:space="preserve"> </w:t>
      </w:r>
      <w:r>
        <w:t>experience</w:t>
      </w:r>
      <w:r>
        <w:rPr>
          <w:spacing w:val="1"/>
        </w:rPr>
        <w:t xml:space="preserve"> </w:t>
      </w:r>
      <w:r>
        <w:t>resistance</w:t>
      </w:r>
      <w:r>
        <w:rPr>
          <w:spacing w:val="1"/>
        </w:rPr>
        <w:t xml:space="preserve"> </w:t>
      </w:r>
      <w:r>
        <w:t>and</w:t>
      </w:r>
      <w:r>
        <w:rPr>
          <w:spacing w:val="-1"/>
        </w:rPr>
        <w:t xml:space="preserve"> </w:t>
      </w:r>
      <w:r>
        <w:t>backlash.</w:t>
      </w:r>
    </w:p>
    <w:p w14:paraId="57579A36" w14:textId="77777777" w:rsidR="005B21BB" w:rsidRPr="00EE34F9" w:rsidRDefault="005B21BB" w:rsidP="00EE34F9">
      <w:pPr>
        <w:pStyle w:val="BodyTextHighlightfullwidth"/>
      </w:pPr>
      <w:r w:rsidRPr="00EE34F9">
        <w:rPr>
          <w:b/>
          <w:bCs/>
        </w:rPr>
        <w:t>The best way to understand resistance is as an indicator of success.</w:t>
      </w:r>
      <w:r w:rsidRPr="00EE34F9">
        <w:rPr>
          <w:rFonts w:ascii="DMSans-Bold" w:hAnsi="DMSans-Bold" w:cs="DMSans-Bold"/>
          <w:b/>
          <w:bCs/>
        </w:rPr>
        <w:t xml:space="preserve"> </w:t>
      </w:r>
      <w:r w:rsidRPr="00EE34F9">
        <w:t>Resistance occurs precisely</w:t>
      </w:r>
      <w:r w:rsidRPr="00EE34F9">
        <w:rPr>
          <w:spacing w:val="-50"/>
        </w:rPr>
        <w:t xml:space="preserve"> </w:t>
      </w:r>
      <w:r w:rsidRPr="00EE34F9">
        <w:t>when</w:t>
      </w:r>
      <w:r w:rsidRPr="00EE34F9">
        <w:rPr>
          <w:spacing w:val="-7"/>
        </w:rPr>
        <w:t xml:space="preserve"> </w:t>
      </w:r>
      <w:r w:rsidRPr="00EE34F9">
        <w:t>existing</w:t>
      </w:r>
      <w:r w:rsidRPr="00EE34F9">
        <w:rPr>
          <w:spacing w:val="-6"/>
        </w:rPr>
        <w:t xml:space="preserve"> </w:t>
      </w:r>
      <w:r w:rsidRPr="00EE34F9">
        <w:t>norms,</w:t>
      </w:r>
      <w:r w:rsidRPr="00EE34F9">
        <w:rPr>
          <w:spacing w:val="-6"/>
        </w:rPr>
        <w:t xml:space="preserve"> </w:t>
      </w:r>
      <w:r w:rsidRPr="00EE34F9">
        <w:t>structures</w:t>
      </w:r>
      <w:r w:rsidRPr="00EE34F9">
        <w:rPr>
          <w:spacing w:val="-5"/>
        </w:rPr>
        <w:t xml:space="preserve"> </w:t>
      </w:r>
      <w:r w:rsidRPr="00EE34F9">
        <w:t>and</w:t>
      </w:r>
      <w:r w:rsidRPr="00EE34F9">
        <w:rPr>
          <w:spacing w:val="-7"/>
        </w:rPr>
        <w:t xml:space="preserve"> </w:t>
      </w:r>
      <w:r w:rsidRPr="00EE34F9">
        <w:t>practices</w:t>
      </w:r>
      <w:r w:rsidRPr="00EE34F9">
        <w:rPr>
          <w:spacing w:val="-5"/>
        </w:rPr>
        <w:t xml:space="preserve"> </w:t>
      </w:r>
      <w:r w:rsidRPr="00EE34F9">
        <w:t>are</w:t>
      </w:r>
      <w:r w:rsidRPr="00EE34F9">
        <w:rPr>
          <w:spacing w:val="-5"/>
        </w:rPr>
        <w:t xml:space="preserve"> </w:t>
      </w:r>
      <w:r w:rsidRPr="00EE34F9">
        <w:t>effectively</w:t>
      </w:r>
      <w:r w:rsidRPr="00EE34F9">
        <w:rPr>
          <w:spacing w:val="-7"/>
        </w:rPr>
        <w:t xml:space="preserve"> </w:t>
      </w:r>
      <w:r w:rsidRPr="00EE34F9">
        <w:t>challenged</w:t>
      </w:r>
      <w:r w:rsidRPr="00EE34F9">
        <w:rPr>
          <w:spacing w:val="-7"/>
        </w:rPr>
        <w:t xml:space="preserve"> </w:t>
      </w:r>
      <w:r w:rsidRPr="00EE34F9">
        <w:t>and</w:t>
      </w:r>
      <w:r w:rsidRPr="00EE34F9">
        <w:rPr>
          <w:spacing w:val="-7"/>
        </w:rPr>
        <w:t xml:space="preserve"> </w:t>
      </w:r>
      <w:r w:rsidRPr="00EE34F9">
        <w:t>threatened.</w:t>
      </w:r>
    </w:p>
    <w:p w14:paraId="16048033" w14:textId="77777777" w:rsidR="004F7809" w:rsidRDefault="005B21BB" w:rsidP="00EE34F9">
      <w:r>
        <w:rPr>
          <w:spacing w:val="2"/>
        </w:rPr>
        <w:t>Resistance can be experienced systemically,</w:t>
      </w:r>
      <w:r>
        <w:rPr>
          <w:spacing w:val="3"/>
        </w:rPr>
        <w:t xml:space="preserve"> </w:t>
      </w:r>
      <w:proofErr w:type="gramStart"/>
      <w:r>
        <w:rPr>
          <w:spacing w:val="2"/>
        </w:rPr>
        <w:t>organisationally</w:t>
      </w:r>
      <w:proofErr w:type="gramEnd"/>
      <w:r>
        <w:rPr>
          <w:spacing w:val="2"/>
        </w:rPr>
        <w:t xml:space="preserve"> and interpersonally (see examples in the diagram below). This resource</w:t>
      </w:r>
      <w:r>
        <w:rPr>
          <w:spacing w:val="3"/>
        </w:rPr>
        <w:t xml:space="preserve"> </w:t>
      </w:r>
      <w:r>
        <w:rPr>
          <w:spacing w:val="2"/>
        </w:rPr>
        <w:t xml:space="preserve">focuses on </w:t>
      </w:r>
      <w:r>
        <w:t xml:space="preserve">managing and responding to </w:t>
      </w:r>
      <w:r w:rsidRPr="00EE34F9">
        <w:rPr>
          <w:b/>
          <w:bCs/>
        </w:rPr>
        <w:t>interpersonal resistance</w:t>
      </w:r>
      <w:r w:rsidRPr="00EE34F9">
        <w:t xml:space="preserve"> </w:t>
      </w:r>
      <w:r>
        <w:rPr>
          <w:spacing w:val="2"/>
        </w:rPr>
        <w:t>and offers strategies to help you better</w:t>
      </w:r>
      <w:r>
        <w:rPr>
          <w:spacing w:val="3"/>
        </w:rPr>
        <w:t xml:space="preserve"> </w:t>
      </w:r>
      <w:r>
        <w:rPr>
          <w:spacing w:val="2"/>
        </w:rPr>
        <w:t>target your message and strengthen your influence</w:t>
      </w:r>
      <w:r>
        <w:rPr>
          <w:spacing w:val="3"/>
        </w:rPr>
        <w:t xml:space="preserve"> </w:t>
      </w:r>
      <w:r>
        <w:rPr>
          <w:spacing w:val="2"/>
        </w:rPr>
        <w:t>whilst also maintaining your boundaries.</w:t>
      </w:r>
    </w:p>
    <w:p w14:paraId="34E58692" w14:textId="1E2895B8" w:rsidR="005B21BB" w:rsidRDefault="005B21BB" w:rsidP="00EE34F9">
      <w:r>
        <w:rPr>
          <w:spacing w:val="1"/>
        </w:rPr>
        <w:t>This guide</w:t>
      </w:r>
      <w:r>
        <w:t xml:space="preserve"> </w:t>
      </w:r>
      <w:r>
        <w:rPr>
          <w:spacing w:val="1"/>
        </w:rPr>
        <w:t>draws on a range of key resources for managing</w:t>
      </w:r>
      <w:r>
        <w:t xml:space="preserve"> </w:t>
      </w:r>
      <w:r>
        <w:rPr>
          <w:spacing w:val="1"/>
        </w:rPr>
        <w:t xml:space="preserve">resistance, bringing together strategies </w:t>
      </w:r>
      <w:r>
        <w:rPr>
          <w:spacing w:val="3"/>
        </w:rPr>
        <w:t>and tips for having</w:t>
      </w:r>
      <w:r>
        <w:rPr>
          <w:spacing w:val="-3"/>
        </w:rPr>
        <w:t xml:space="preserve"> </w:t>
      </w:r>
      <w:r>
        <w:rPr>
          <w:spacing w:val="3"/>
        </w:rPr>
        <w:t>supportive</w:t>
      </w:r>
      <w:r>
        <w:rPr>
          <w:spacing w:val="-2"/>
        </w:rPr>
        <w:t xml:space="preserve"> </w:t>
      </w:r>
      <w:r>
        <w:rPr>
          <w:spacing w:val="3"/>
        </w:rPr>
        <w:t>and</w:t>
      </w:r>
      <w:r>
        <w:rPr>
          <w:spacing w:val="-3"/>
        </w:rPr>
        <w:t xml:space="preserve"> </w:t>
      </w:r>
      <w:r>
        <w:rPr>
          <w:spacing w:val="3"/>
        </w:rPr>
        <w:t>constructive</w:t>
      </w:r>
      <w:r>
        <w:rPr>
          <w:spacing w:val="-2"/>
        </w:rPr>
        <w:t xml:space="preserve"> </w:t>
      </w:r>
      <w:r>
        <w:rPr>
          <w:spacing w:val="1"/>
        </w:rPr>
        <w:t>conversations</w:t>
      </w:r>
      <w:r>
        <w:rPr>
          <w:spacing w:val="-4"/>
        </w:rPr>
        <w:t xml:space="preserve"> </w:t>
      </w:r>
      <w:r>
        <w:rPr>
          <w:spacing w:val="1"/>
        </w:rPr>
        <w:t>abo</w:t>
      </w:r>
      <w:r>
        <w:t>ut ge</w:t>
      </w:r>
      <w:r>
        <w:rPr>
          <w:spacing w:val="1"/>
        </w:rPr>
        <w:t>nder equality and the</w:t>
      </w:r>
      <w:r w:rsidR="004F7809">
        <w:rPr>
          <w:spacing w:val="1"/>
        </w:rPr>
        <w:t xml:space="preserve"> </w:t>
      </w:r>
      <w:r>
        <w:rPr>
          <w:spacing w:val="-1"/>
        </w:rPr>
        <w:t xml:space="preserve">prevention </w:t>
      </w:r>
      <w:r>
        <w:t>of gender-based</w:t>
      </w:r>
      <w:r>
        <w:rPr>
          <w:spacing w:val="1"/>
        </w:rPr>
        <w:t xml:space="preserve"> </w:t>
      </w:r>
      <w:r>
        <w:t>violence.</w:t>
      </w:r>
    </w:p>
    <w:p w14:paraId="5CD684F7" w14:textId="77777777" w:rsidR="005E3B45" w:rsidRDefault="005B21BB" w:rsidP="00EE34F9">
      <w:r>
        <w:t xml:space="preserve">Primary prevention of gendered violence means stopping the violence </w:t>
      </w:r>
      <w:r w:rsidRPr="00724423">
        <w:rPr>
          <w:i/>
          <w:iCs/>
        </w:rPr>
        <w:t>before it starts</w:t>
      </w:r>
      <w:r>
        <w:t xml:space="preserve"> by addressing its underlying drivers.</w:t>
      </w:r>
      <w:r>
        <w:rPr>
          <w:vertAlign w:val="superscript"/>
        </w:rPr>
        <w:footnoteReference w:id="2"/>
      </w:r>
      <w:r>
        <w:t xml:space="preserve"> Central to prevention is actively challenging all forms of oppression and discrimination, including colonialism, cisnormativity, ageism, racism, homophobia, </w:t>
      </w:r>
      <w:proofErr w:type="gramStart"/>
      <w:r>
        <w:t>ableism</w:t>
      </w:r>
      <w:proofErr w:type="gramEnd"/>
      <w:r>
        <w:t xml:space="preserve"> and sexism While the examples in this guide focus on resistance to gender equality, the strategies and tips explored here can be applied when experiencing resistance to any form of social change.</w:t>
      </w:r>
    </w:p>
    <w:p w14:paraId="076A107B" w14:textId="22B65787" w:rsidR="005B21BB" w:rsidRDefault="006D2F41" w:rsidP="00363DDE">
      <w:pPr>
        <w:rPr>
          <w:b/>
          <w:bCs/>
        </w:rPr>
      </w:pPr>
      <w:r w:rsidRPr="00363DDE">
        <w:rPr>
          <w:b/>
          <w:bCs/>
        </w:rPr>
        <w:t>Examples of resistance at different levels</w:t>
      </w:r>
      <w:r w:rsidR="00363DDE" w:rsidRPr="00363DDE">
        <w:rPr>
          <w:b/>
          <w:bCs/>
        </w:rPr>
        <w:t>:</w:t>
      </w:r>
    </w:p>
    <w:p w14:paraId="48489E20" w14:textId="488A258A" w:rsidR="007C08EF" w:rsidRPr="007221D7" w:rsidRDefault="007C08EF" w:rsidP="00363DDE">
      <w:r>
        <w:t xml:space="preserve">Resistance occurs at different levels across the socio-ecological model – individually, where it occurs within interpersonal relationships, organisationally where institutions deny the existence or a problem or refuse to take meaningful action, or at a broader systemic level, where deeply embedded norms, structures and attitudes perpetuate and promote practices that </w:t>
      </w:r>
      <w:r w:rsidR="005D25CB">
        <w:t xml:space="preserve">enable </w:t>
      </w:r>
      <w:r>
        <w:t>resistance</w:t>
      </w:r>
      <w:r w:rsidR="005D25CB">
        <w:t xml:space="preserve"> to change</w:t>
      </w:r>
      <w:r>
        <w:t>.</w:t>
      </w:r>
      <w:r w:rsidR="005D25CB">
        <w:t xml:space="preserve"> Examples of resistance at each of these levels look like:</w:t>
      </w:r>
    </w:p>
    <w:p w14:paraId="547FA00E" w14:textId="2B5CFE87" w:rsidR="006D2F41" w:rsidRDefault="00363DDE" w:rsidP="00363DDE">
      <w:pPr>
        <w:pStyle w:val="Bulletpoint"/>
      </w:pPr>
      <w:r w:rsidRPr="00363DDE">
        <w:rPr>
          <w:b/>
          <w:bCs/>
        </w:rPr>
        <w:t>Interpersonal:</w:t>
      </w:r>
      <w:r>
        <w:t xml:space="preserve"> For example, ‘Don’t be so sensitive, it’s just a joke.’</w:t>
      </w:r>
    </w:p>
    <w:p w14:paraId="02BCCC8B" w14:textId="27CEEA67" w:rsidR="00363DDE" w:rsidRDefault="00363DDE" w:rsidP="00363DDE">
      <w:pPr>
        <w:pStyle w:val="Bulletpoint"/>
      </w:pPr>
      <w:r w:rsidRPr="00363DDE">
        <w:rPr>
          <w:b/>
          <w:bCs/>
        </w:rPr>
        <w:t>Organisational:</w:t>
      </w:r>
      <w:r>
        <w:t xml:space="preserve"> For example, ‘Gender inequality is not a problem here.’</w:t>
      </w:r>
    </w:p>
    <w:p w14:paraId="17EAE24B" w14:textId="1A0A95F7" w:rsidR="00363DDE" w:rsidRDefault="00363DDE" w:rsidP="00363DDE">
      <w:pPr>
        <w:pStyle w:val="Bulletpoint"/>
      </w:pPr>
      <w:r w:rsidRPr="00363DDE">
        <w:rPr>
          <w:b/>
          <w:bCs/>
        </w:rPr>
        <w:t>Systemic:</w:t>
      </w:r>
      <w:r>
        <w:t xml:space="preserve"> For example, ‘Laws are gender blind.’</w:t>
      </w:r>
    </w:p>
    <w:p w14:paraId="0B06E2A7" w14:textId="6C91465E" w:rsidR="005B21BB" w:rsidRDefault="005B21BB" w:rsidP="00EE34F9">
      <w:r>
        <w:t xml:space="preserve">Key resources that inform this guide include VicHealth’s </w:t>
      </w:r>
      <w:hyperlink r:id="rId14" w:history="1">
        <w:r w:rsidRPr="00724423">
          <w:rPr>
            <w:rStyle w:val="Hyperlink"/>
            <w:i/>
            <w:iCs/>
          </w:rPr>
          <w:t>(</w:t>
        </w:r>
        <w:proofErr w:type="spellStart"/>
        <w:r w:rsidRPr="00724423">
          <w:rPr>
            <w:rStyle w:val="Hyperlink"/>
            <w:i/>
            <w:iCs/>
          </w:rPr>
          <w:t>En</w:t>
        </w:r>
        <w:proofErr w:type="spellEnd"/>
        <w:r w:rsidRPr="00724423">
          <w:rPr>
            <w:rStyle w:val="Hyperlink"/>
            <w:i/>
            <w:iCs/>
          </w:rPr>
          <w:t>)countering resistance: Strategies to respond to resistance to gender equality initiatives (2018)</w:t>
        </w:r>
      </w:hyperlink>
      <w:r>
        <w:rPr>
          <w:spacing w:val="-3"/>
        </w:rPr>
        <w:t xml:space="preserve">; </w:t>
      </w:r>
      <w:hyperlink r:id="rId15" w:history="1">
        <w:r w:rsidRPr="00724423">
          <w:rPr>
            <w:rStyle w:val="Hyperlink"/>
          </w:rPr>
          <w:t>Framing gender equality: Message guide (2021)</w:t>
        </w:r>
      </w:hyperlink>
      <w:r>
        <w:rPr>
          <w:spacing w:val="-3"/>
        </w:rPr>
        <w:t xml:space="preserve">; and </w:t>
      </w:r>
      <w:hyperlink r:id="rId16" w:history="1">
        <w:r w:rsidRPr="00724423">
          <w:rPr>
            <w:rStyle w:val="Hyperlink"/>
          </w:rPr>
          <w:t>Framing masculinity: Message guide (2020)</w:t>
        </w:r>
      </w:hyperlink>
      <w:r>
        <w:rPr>
          <w:spacing w:val="-3"/>
        </w:rPr>
        <w:t xml:space="preserve">. </w:t>
      </w:r>
      <w:r>
        <w:t>VicHealth has generously granted permission to include their work</w:t>
      </w:r>
      <w:r w:rsidR="004F7809">
        <w:t xml:space="preserve"> </w:t>
      </w:r>
      <w:r>
        <w:t>in this resource.</w:t>
      </w:r>
    </w:p>
    <w:p w14:paraId="2231DB57" w14:textId="2D1136A3" w:rsidR="005B21BB" w:rsidRDefault="005B21BB" w:rsidP="00EE34F9">
      <w:r>
        <w:lastRenderedPageBreak/>
        <w:t>We also recommend Rainbow Health Australia’s</w:t>
      </w:r>
      <w:r w:rsidR="004F7809">
        <w:t xml:space="preserve"> </w:t>
      </w:r>
      <w:hyperlink r:id="rId17" w:history="1">
        <w:r w:rsidRPr="00724423">
          <w:rPr>
            <w:rStyle w:val="Hyperlink"/>
          </w:rPr>
          <w:t>Pride in Prevention Messaging Guide (2021)</w:t>
        </w:r>
      </w:hyperlink>
      <w:r>
        <w:rPr>
          <w:spacing w:val="-1"/>
        </w:rPr>
        <w:t xml:space="preserve"> for greater understanding of how to respond to resistance in the primary prevention of family violence experienced by </w:t>
      </w:r>
      <w:r>
        <w:t>LGBTIQ communities.</w:t>
      </w:r>
    </w:p>
    <w:p w14:paraId="131089F6" w14:textId="77777777" w:rsidR="004F7809" w:rsidRDefault="005B21BB" w:rsidP="00120BE4">
      <w:pPr>
        <w:pStyle w:val="Heading1"/>
      </w:pPr>
      <w:bookmarkStart w:id="1" w:name="_Toc101274647"/>
      <w:r>
        <w:lastRenderedPageBreak/>
        <w:t>Types</w:t>
      </w:r>
      <w:r>
        <w:rPr>
          <w:spacing w:val="-2"/>
        </w:rPr>
        <w:t xml:space="preserve"> </w:t>
      </w:r>
      <w:r>
        <w:t>of</w:t>
      </w:r>
      <w:r>
        <w:rPr>
          <w:spacing w:val="-1"/>
        </w:rPr>
        <w:t xml:space="preserve"> </w:t>
      </w:r>
      <w:r>
        <w:t>resistance</w:t>
      </w:r>
      <w:bookmarkEnd w:id="1"/>
    </w:p>
    <w:p w14:paraId="5396246D" w14:textId="1E3A9E97" w:rsidR="005B21BB" w:rsidRDefault="005B21BB" w:rsidP="00EE34F9">
      <w:r>
        <w:rPr>
          <w:color w:val="171616"/>
        </w:rPr>
        <w:t xml:space="preserve">Resistance </w:t>
      </w:r>
      <w:r>
        <w:t xml:space="preserve">can manifest in </w:t>
      </w:r>
      <w:proofErr w:type="gramStart"/>
      <w:r>
        <w:t>a number of</w:t>
      </w:r>
      <w:proofErr w:type="gramEnd"/>
      <w:r>
        <w:t xml:space="preserve"> ways,</w:t>
      </w:r>
      <w:r w:rsidR="004F7809">
        <w:t xml:space="preserve"> </w:t>
      </w:r>
      <w:r>
        <w:t>ranging from passive to active. While we are often</w:t>
      </w:r>
      <w:r w:rsidR="004F7809">
        <w:rPr>
          <w:spacing w:val="1"/>
        </w:rPr>
        <w:t xml:space="preserve"> </w:t>
      </w:r>
      <w:r>
        <w:t>able to identify the more active forms of resistance, the more passive forms can be harder to</w:t>
      </w:r>
      <w:r>
        <w:rPr>
          <w:spacing w:val="1"/>
        </w:rPr>
        <w:t xml:space="preserve"> </w:t>
      </w:r>
      <w:r>
        <w:t xml:space="preserve">identify and therefore decide </w:t>
      </w:r>
      <w:proofErr w:type="gramStart"/>
      <w:r>
        <w:t>whether or not</w:t>
      </w:r>
      <w:proofErr w:type="gramEnd"/>
      <w:r>
        <w:t xml:space="preserve"> to engage with it,</w:t>
      </w:r>
      <w:r w:rsidR="004F7809">
        <w:t xml:space="preserve"> </w:t>
      </w:r>
      <w:r>
        <w:t>and what form of engagement would be most productive. Familiarising yourself with the different forms of resistance is important for determining</w:t>
      </w:r>
      <w:r w:rsidR="004F7809">
        <w:t xml:space="preserve"> </w:t>
      </w:r>
      <w:r>
        <w:t>how we then respond.</w:t>
      </w:r>
      <w:r w:rsidR="005D25CB">
        <w:t xml:space="preserve"> The table below provides examples of common forms of resistance, what they might look like in practice, and a description of how they each undermine progress.</w:t>
      </w:r>
    </w:p>
    <w:p w14:paraId="5E1FF194" w14:textId="0961C72B" w:rsidR="007221D7" w:rsidRDefault="007221D7" w:rsidP="003939BA">
      <w:pPr>
        <w:pStyle w:val="Heading4"/>
      </w:pPr>
      <w:r w:rsidRPr="009F55E4">
        <w:t xml:space="preserve">Type of resistance </w:t>
      </w:r>
      <w:r>
        <w:t>(</w:t>
      </w:r>
      <w:r w:rsidRPr="009F55E4">
        <w:t>most active to most passive</w:t>
      </w:r>
      <w:r>
        <w:t>)</w:t>
      </w:r>
    </w:p>
    <w:p w14:paraId="4EE8841E" w14:textId="10F68888" w:rsidR="007221D7" w:rsidRPr="00923E9E" w:rsidRDefault="00620223" w:rsidP="00923E9E">
      <w:pPr>
        <w:spacing w:line="240" w:lineRule="auto"/>
        <w:rPr>
          <w:b/>
          <w:bCs/>
        </w:rPr>
      </w:pPr>
      <w:r w:rsidRPr="00923E9E">
        <w:rPr>
          <w:b/>
          <w:bCs/>
        </w:rPr>
        <w:t>Backlash</w:t>
      </w:r>
    </w:p>
    <w:p w14:paraId="2B37DADF" w14:textId="0BC6B616" w:rsidR="00620223" w:rsidRPr="00F716A9" w:rsidRDefault="00620223" w:rsidP="00923E9E">
      <w:pPr>
        <w:spacing w:line="240" w:lineRule="auto"/>
      </w:pPr>
      <w:r w:rsidRPr="00F716A9">
        <w:t xml:space="preserve">Example: </w:t>
      </w:r>
      <w:r w:rsidRPr="00F716A9">
        <w:t>‘These feminists deserve all the abuse they get’</w:t>
      </w:r>
    </w:p>
    <w:p w14:paraId="0D1CF6EA" w14:textId="143420AE" w:rsidR="00620223" w:rsidRPr="00F716A9" w:rsidRDefault="00620223" w:rsidP="00923E9E">
      <w:pPr>
        <w:spacing w:line="240" w:lineRule="auto"/>
      </w:pPr>
      <w:r w:rsidRPr="00F716A9">
        <w:t xml:space="preserve">Description: </w:t>
      </w:r>
      <w:r w:rsidRPr="00F716A9">
        <w:t>Aggressive, attacking response</w:t>
      </w:r>
      <w:r w:rsidRPr="00F716A9">
        <w:t>.</w:t>
      </w:r>
    </w:p>
    <w:p w14:paraId="0A7318CC" w14:textId="6C35D6B0" w:rsidR="00620223" w:rsidRPr="00923E9E" w:rsidRDefault="00620223" w:rsidP="00923E9E">
      <w:pPr>
        <w:spacing w:line="240" w:lineRule="auto"/>
        <w:rPr>
          <w:b/>
          <w:bCs/>
        </w:rPr>
      </w:pPr>
      <w:r w:rsidRPr="00923E9E">
        <w:rPr>
          <w:b/>
          <w:bCs/>
        </w:rPr>
        <w:t>Repression</w:t>
      </w:r>
    </w:p>
    <w:p w14:paraId="3F31B9EE" w14:textId="6DF9F30E" w:rsidR="00F716A9" w:rsidRPr="00F716A9" w:rsidRDefault="00F716A9" w:rsidP="00923E9E">
      <w:pPr>
        <w:spacing w:line="240" w:lineRule="auto"/>
      </w:pPr>
      <w:r w:rsidRPr="00F716A9">
        <w:t>Example: ‘We tried that once and women didn’t want to take up the opportunity’</w:t>
      </w:r>
    </w:p>
    <w:p w14:paraId="61B98E70" w14:textId="3840ED4E" w:rsidR="00F716A9" w:rsidRPr="00F716A9" w:rsidRDefault="00F716A9" w:rsidP="00923E9E">
      <w:pPr>
        <w:spacing w:line="240" w:lineRule="auto"/>
      </w:pPr>
      <w:r w:rsidRPr="00F716A9">
        <w:t>Description: Reversing or dismantling a change initiative.</w:t>
      </w:r>
    </w:p>
    <w:p w14:paraId="7D799EC2" w14:textId="44777F44" w:rsidR="00F716A9" w:rsidRPr="00923E9E" w:rsidRDefault="00F716A9" w:rsidP="00923E9E">
      <w:pPr>
        <w:spacing w:line="240" w:lineRule="auto"/>
        <w:rPr>
          <w:b/>
          <w:bCs/>
        </w:rPr>
      </w:pPr>
      <w:r w:rsidRPr="00923E9E">
        <w:rPr>
          <w:b/>
          <w:bCs/>
        </w:rPr>
        <w:t>Co-option</w:t>
      </w:r>
    </w:p>
    <w:p w14:paraId="1B274CF0" w14:textId="28EE4B29" w:rsidR="00F716A9" w:rsidRPr="00F716A9" w:rsidRDefault="00F716A9" w:rsidP="00923E9E">
      <w:pPr>
        <w:spacing w:line="240" w:lineRule="auto"/>
      </w:pPr>
      <w:r w:rsidRPr="00F716A9">
        <w:t>Example: ‘What about men’s rights?’</w:t>
      </w:r>
    </w:p>
    <w:p w14:paraId="69B20213" w14:textId="2DDC9F48" w:rsidR="00F716A9" w:rsidRPr="00F716A9" w:rsidRDefault="00F716A9" w:rsidP="00923E9E">
      <w:pPr>
        <w:spacing w:line="240" w:lineRule="auto"/>
      </w:pPr>
      <w:r w:rsidRPr="00F716A9">
        <w:t>Description: Using the language of progressive frameworks and goals for reactionary ends.</w:t>
      </w:r>
    </w:p>
    <w:p w14:paraId="4DFCC1EA" w14:textId="17A4FEEA" w:rsidR="00F716A9" w:rsidRPr="00923E9E" w:rsidRDefault="00F716A9" w:rsidP="00923E9E">
      <w:pPr>
        <w:spacing w:line="240" w:lineRule="auto"/>
        <w:rPr>
          <w:b/>
          <w:bCs/>
        </w:rPr>
      </w:pPr>
      <w:r w:rsidRPr="00923E9E">
        <w:rPr>
          <w:b/>
          <w:bCs/>
        </w:rPr>
        <w:t>Appropriation</w:t>
      </w:r>
    </w:p>
    <w:p w14:paraId="78A81A6B" w14:textId="58C62D19" w:rsidR="00F716A9" w:rsidRPr="00F716A9" w:rsidRDefault="00F716A9" w:rsidP="00923E9E">
      <w:pPr>
        <w:spacing w:line="240" w:lineRule="auto"/>
      </w:pPr>
      <w:r w:rsidRPr="00F716A9">
        <w:t>Example: ‘Of course we’d appoint more women, if only they were more experienced’</w:t>
      </w:r>
    </w:p>
    <w:p w14:paraId="6388A53B" w14:textId="03D74DC0" w:rsidR="00F716A9" w:rsidRPr="00F716A9" w:rsidRDefault="00F716A9" w:rsidP="00923E9E">
      <w:pPr>
        <w:spacing w:line="240" w:lineRule="auto"/>
      </w:pPr>
      <w:r w:rsidRPr="00F716A9">
        <w:t>Description: Simulating change while covertly undermining it.</w:t>
      </w:r>
    </w:p>
    <w:p w14:paraId="4C3DABDE" w14:textId="49CAC67E" w:rsidR="00F716A9" w:rsidRPr="00923E9E" w:rsidRDefault="00F716A9" w:rsidP="00923E9E">
      <w:pPr>
        <w:spacing w:line="240" w:lineRule="auto"/>
        <w:rPr>
          <w:b/>
          <w:bCs/>
        </w:rPr>
      </w:pPr>
      <w:r w:rsidRPr="00923E9E">
        <w:rPr>
          <w:b/>
          <w:bCs/>
        </w:rPr>
        <w:t>Appeasement</w:t>
      </w:r>
    </w:p>
    <w:p w14:paraId="0B99C926" w14:textId="45BD03AE" w:rsidR="00F716A9" w:rsidRPr="00F716A9" w:rsidRDefault="00F716A9" w:rsidP="00923E9E">
      <w:pPr>
        <w:spacing w:line="240" w:lineRule="auto"/>
      </w:pPr>
      <w:r w:rsidRPr="00F716A9">
        <w:t>Example: ‘Yes, yes, we must do something (one day)’</w:t>
      </w:r>
    </w:p>
    <w:p w14:paraId="3676DCAF" w14:textId="75CE61E3" w:rsidR="00F716A9" w:rsidRPr="00F716A9" w:rsidRDefault="00F716A9" w:rsidP="00923E9E">
      <w:pPr>
        <w:spacing w:line="240" w:lineRule="auto"/>
      </w:pPr>
      <w:r w:rsidRPr="00F716A9">
        <w:t xml:space="preserve">Description: Efforts to placate or pacify those advocating for change </w:t>
      </w:r>
      <w:proofErr w:type="gramStart"/>
      <w:r w:rsidRPr="00F716A9">
        <w:t>in order to</w:t>
      </w:r>
      <w:proofErr w:type="gramEnd"/>
      <w:r w:rsidRPr="00F716A9">
        <w:t xml:space="preserve"> limit its impact.</w:t>
      </w:r>
    </w:p>
    <w:p w14:paraId="49B451BB" w14:textId="6512A183" w:rsidR="00F716A9" w:rsidRPr="00C34FBA" w:rsidRDefault="00F716A9" w:rsidP="00923E9E">
      <w:pPr>
        <w:spacing w:line="240" w:lineRule="auto"/>
        <w:rPr>
          <w:b/>
          <w:bCs/>
        </w:rPr>
      </w:pPr>
      <w:r w:rsidRPr="00C34FBA">
        <w:rPr>
          <w:b/>
          <w:bCs/>
        </w:rPr>
        <w:t>Inaction</w:t>
      </w:r>
    </w:p>
    <w:p w14:paraId="071EBDCE" w14:textId="7F42FDC1" w:rsidR="00F716A9" w:rsidRPr="00F716A9" w:rsidRDefault="00F716A9" w:rsidP="00923E9E">
      <w:pPr>
        <w:spacing w:line="240" w:lineRule="auto"/>
      </w:pPr>
      <w:r w:rsidRPr="00F716A9">
        <w:t>Example: ‘We have more urgent priorities right now’</w:t>
      </w:r>
    </w:p>
    <w:p w14:paraId="61DD1F1D" w14:textId="098E48F0" w:rsidR="00F716A9" w:rsidRPr="00F716A9" w:rsidRDefault="00F716A9" w:rsidP="00923E9E">
      <w:pPr>
        <w:spacing w:line="240" w:lineRule="auto"/>
      </w:pPr>
      <w:r w:rsidRPr="00F716A9">
        <w:t>Description: Refusal to implement change initiative.</w:t>
      </w:r>
    </w:p>
    <w:p w14:paraId="75DBCAAB" w14:textId="64E8B0BF" w:rsidR="00F716A9" w:rsidRPr="00C34FBA" w:rsidRDefault="00F716A9" w:rsidP="00923E9E">
      <w:pPr>
        <w:spacing w:line="240" w:lineRule="auto"/>
        <w:rPr>
          <w:b/>
          <w:bCs/>
        </w:rPr>
      </w:pPr>
      <w:r w:rsidRPr="00C34FBA">
        <w:rPr>
          <w:b/>
          <w:bCs/>
        </w:rPr>
        <w:t>Disavowal</w:t>
      </w:r>
    </w:p>
    <w:p w14:paraId="553BFF89" w14:textId="480DC342" w:rsidR="00F716A9" w:rsidRPr="00F716A9" w:rsidRDefault="00F716A9" w:rsidP="00923E9E">
      <w:pPr>
        <w:spacing w:line="240" w:lineRule="auto"/>
      </w:pPr>
      <w:r w:rsidRPr="00F716A9">
        <w:t>Example: ‘It’s not my job to do something about it’</w:t>
      </w:r>
    </w:p>
    <w:p w14:paraId="514F4321" w14:textId="3290E240" w:rsidR="00F716A9" w:rsidRPr="00F716A9" w:rsidRDefault="00F716A9" w:rsidP="00923E9E">
      <w:pPr>
        <w:spacing w:line="240" w:lineRule="auto"/>
      </w:pPr>
      <w:r w:rsidRPr="00F716A9">
        <w:t>Description: Refusal to recognise responsibility.</w:t>
      </w:r>
    </w:p>
    <w:p w14:paraId="7E3EAA82" w14:textId="33AC85EC" w:rsidR="00F716A9" w:rsidRPr="00C34FBA" w:rsidRDefault="00F716A9" w:rsidP="00923E9E">
      <w:pPr>
        <w:spacing w:line="240" w:lineRule="auto"/>
        <w:rPr>
          <w:b/>
          <w:bCs/>
        </w:rPr>
      </w:pPr>
      <w:r w:rsidRPr="00C34FBA">
        <w:rPr>
          <w:b/>
          <w:bCs/>
        </w:rPr>
        <w:t>Denial</w:t>
      </w:r>
    </w:p>
    <w:p w14:paraId="332F3134" w14:textId="5308956A" w:rsidR="00F716A9" w:rsidRPr="00F716A9" w:rsidRDefault="00F716A9" w:rsidP="00923E9E">
      <w:pPr>
        <w:spacing w:line="240" w:lineRule="auto"/>
      </w:pPr>
      <w:r w:rsidRPr="00F716A9">
        <w:lastRenderedPageBreak/>
        <w:t>Example: ‘There’s no problem here’</w:t>
      </w:r>
    </w:p>
    <w:p w14:paraId="3CFF4AE5" w14:textId="7B447A87" w:rsidR="00F716A9" w:rsidRPr="00F716A9" w:rsidRDefault="00F716A9" w:rsidP="00923E9E">
      <w:pPr>
        <w:spacing w:line="240" w:lineRule="auto"/>
      </w:pPr>
      <w:r w:rsidRPr="00F716A9">
        <w:t>Description: Denial of the problem or the credibility of the case for change. This can include victim blaming.</w:t>
      </w:r>
    </w:p>
    <w:p w14:paraId="75B5A482" w14:textId="4CE2590B" w:rsidR="005B21BB" w:rsidRDefault="00363DDE" w:rsidP="009F55E4">
      <w:pPr>
        <w:pStyle w:val="Source"/>
        <w:rPr>
          <w:rFonts w:ascii="Helvetica" w:hAnsi="Helvetica" w:cs="Helvetica"/>
          <w:color w:val="3F3F3F"/>
        </w:rPr>
      </w:pPr>
      <w:r>
        <w:t xml:space="preserve">Source: </w:t>
      </w:r>
      <w:hyperlink r:id="rId18" w:history="1">
        <w:r w:rsidR="005B21BB">
          <w:t xml:space="preserve">VicHealth 2018, </w:t>
        </w:r>
        <w:r w:rsidR="005B21BB" w:rsidRPr="00363DDE">
          <w:rPr>
            <w:rStyle w:val="Hyperlink"/>
            <w:i/>
            <w:iCs/>
          </w:rPr>
          <w:t>(</w:t>
        </w:r>
        <w:proofErr w:type="spellStart"/>
        <w:r w:rsidR="005B21BB" w:rsidRPr="00363DDE">
          <w:rPr>
            <w:rStyle w:val="Hyperlink"/>
            <w:i/>
            <w:iCs/>
          </w:rPr>
          <w:t>En</w:t>
        </w:r>
        <w:proofErr w:type="spellEnd"/>
        <w:r w:rsidR="005B21BB" w:rsidRPr="00363DDE">
          <w:rPr>
            <w:rStyle w:val="Hyperlink"/>
            <w:i/>
            <w:iCs/>
          </w:rPr>
          <w:t>)countering</w:t>
        </w:r>
        <w:r w:rsidR="004F7809" w:rsidRPr="00363DDE">
          <w:rPr>
            <w:rStyle w:val="Hyperlink"/>
            <w:i/>
            <w:iCs/>
          </w:rPr>
          <w:t xml:space="preserve"> </w:t>
        </w:r>
        <w:r w:rsidR="005B21BB" w:rsidRPr="00363DDE">
          <w:rPr>
            <w:rStyle w:val="Hyperlink"/>
            <w:i/>
            <w:iCs/>
          </w:rPr>
          <w:t>resistance: Strategies to respond to</w:t>
        </w:r>
        <w:r w:rsidR="004F7809" w:rsidRPr="00363DDE">
          <w:rPr>
            <w:rStyle w:val="Hyperlink"/>
            <w:i/>
            <w:iCs/>
          </w:rPr>
          <w:t xml:space="preserve"> </w:t>
        </w:r>
        <w:r w:rsidR="005B21BB" w:rsidRPr="00363DDE">
          <w:rPr>
            <w:rStyle w:val="Hyperlink"/>
            <w:i/>
            <w:iCs/>
          </w:rPr>
          <w:t>resistance to gender equality initiatives</w:t>
        </w:r>
        <w:r w:rsidR="005B21BB" w:rsidRPr="00BB0230">
          <w:t>,</w:t>
        </w:r>
        <w:r w:rsidR="004F7809" w:rsidRPr="00BB0230">
          <w:t xml:space="preserve"> </w:t>
        </w:r>
        <w:r w:rsidR="005B21BB" w:rsidRPr="00BB0230">
          <w:t>V</w:t>
        </w:r>
        <w:r w:rsidR="005B21BB">
          <w:t>ictorian Health Promotion Foundation, Melbourne.</w:t>
        </w:r>
      </w:hyperlink>
    </w:p>
    <w:p w14:paraId="5474FA00" w14:textId="77777777" w:rsidR="005B21BB" w:rsidRDefault="005B21BB" w:rsidP="00120BE4">
      <w:pPr>
        <w:pStyle w:val="Heading1"/>
      </w:pPr>
      <w:bookmarkStart w:id="2" w:name="_Toc101274648"/>
      <w:r>
        <w:lastRenderedPageBreak/>
        <w:t>Where to invest your energy</w:t>
      </w:r>
      <w:bookmarkEnd w:id="2"/>
    </w:p>
    <w:p w14:paraId="26A7A58C" w14:textId="58216074" w:rsidR="005B21BB" w:rsidRDefault="005B21BB" w:rsidP="00EE34F9">
      <w:r>
        <w:t xml:space="preserve">Research shows that the majority (60%) of people in Australia are persuadable on the issue of gender equality. This means that they sit in the ‘moveable middle’ in the spectrum of resistance (see diagram below). Rather than spending vast amounts of time and energy trying to persuade the entrenched </w:t>
      </w:r>
      <w:r>
        <w:rPr>
          <w:spacing w:val="-2"/>
        </w:rPr>
        <w:t xml:space="preserve">opposition (who strongly disagree with </w:t>
      </w:r>
      <w:proofErr w:type="gramStart"/>
      <w:r>
        <w:rPr>
          <w:spacing w:val="-2"/>
        </w:rPr>
        <w:t>taking action</w:t>
      </w:r>
      <w:proofErr w:type="gramEnd"/>
      <w:r>
        <w:t xml:space="preserve"> towards gender equality), our effort is best spent bringing people over </w:t>
      </w:r>
      <w:r>
        <w:rPr>
          <w:spacing w:val="1"/>
        </w:rPr>
        <w:t>from the moveable middle to the committed end of</w:t>
      </w:r>
      <w:r w:rsidR="004F7809">
        <w:rPr>
          <w:spacing w:val="1"/>
        </w:rPr>
        <w:t xml:space="preserve"> </w:t>
      </w:r>
      <w:r>
        <w:rPr>
          <w:spacing w:val="1"/>
        </w:rPr>
        <w:t>the spectrum and finding other committed allies to</w:t>
      </w:r>
      <w:r>
        <w:t xml:space="preserve"> keep our movement strong.</w:t>
      </w:r>
    </w:p>
    <w:p w14:paraId="0886B3A5" w14:textId="688078BC" w:rsidR="005B21BB" w:rsidRDefault="005B21BB" w:rsidP="00EE34F9">
      <w:pPr>
        <w:rPr>
          <w:spacing w:val="-2"/>
        </w:rPr>
      </w:pPr>
      <w:r>
        <w:rPr>
          <w:spacing w:val="-2"/>
        </w:rPr>
        <w:t xml:space="preserve">This means that sometimes, we will have to walk away </w:t>
      </w:r>
      <w:r>
        <w:rPr>
          <w:spacing w:val="-3"/>
        </w:rPr>
        <w:t>from conversations with the entrenched opposition when</w:t>
      </w:r>
      <w:r>
        <w:rPr>
          <w:spacing w:val="-2"/>
        </w:rPr>
        <w:t xml:space="preserve"> we know our time would better be spent elsewhere.</w:t>
      </w:r>
    </w:p>
    <w:p w14:paraId="23A4B43E" w14:textId="23932597" w:rsidR="00F13E97" w:rsidRPr="00F13E97" w:rsidRDefault="00F13E97" w:rsidP="00F13E97">
      <w:pPr>
        <w:spacing w:after="300"/>
        <w:rPr>
          <w:b/>
          <w:bCs/>
          <w:spacing w:val="-2"/>
        </w:rPr>
      </w:pPr>
      <w:r w:rsidRPr="00F13E97">
        <w:rPr>
          <w:b/>
          <w:bCs/>
          <w:spacing w:val="-2"/>
        </w:rPr>
        <w:t>The spectrum of resistance highlights people’s readiness to commit to an issue:</w:t>
      </w:r>
    </w:p>
    <w:p w14:paraId="36DE3DC5" w14:textId="09D04037" w:rsidR="005B21BB" w:rsidRDefault="00F13E97" w:rsidP="00BB0230">
      <w:r>
        <w:rPr>
          <w:noProof/>
        </w:rPr>
        <w:drawing>
          <wp:inline distT="0" distB="0" distL="0" distR="0" wp14:anchorId="153C3521" wp14:editId="37A00CAB">
            <wp:extent cx="5580380" cy="1185545"/>
            <wp:effectExtent l="0" t="0" r="1270" b="0"/>
            <wp:docPr id="2" name="Picture 2" descr="Infographic of the spectrum of resistance, which ranges from entrenched opposition to fully committed. The inner spectrum of the full range is the moveable middle. It comprises 60% of the people in Australia, and ranges from the currently unconvinced to the currently cur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fographic of the spectrum of resistance, which ranges from entrenched opposition to fully committed. The inner spectrum of the full range is the moveable middle. It comprises 60% of the people in Australia, and ranges from the currently unconvinced to the currently curious."/>
                    <pic:cNvPicPr/>
                  </pic:nvPicPr>
                  <pic:blipFill>
                    <a:blip r:embed="rId19"/>
                    <a:stretch>
                      <a:fillRect/>
                    </a:stretch>
                  </pic:blipFill>
                  <pic:spPr>
                    <a:xfrm>
                      <a:off x="0" y="0"/>
                      <a:ext cx="5580380" cy="1185545"/>
                    </a:xfrm>
                    <a:prstGeom prst="rect">
                      <a:avLst/>
                    </a:prstGeom>
                  </pic:spPr>
                </pic:pic>
              </a:graphicData>
            </a:graphic>
          </wp:inline>
        </w:drawing>
      </w:r>
    </w:p>
    <w:p w14:paraId="06F46F3C" w14:textId="19B1D5BF" w:rsidR="005B21BB" w:rsidRDefault="00F13E97" w:rsidP="00F13E97">
      <w:pPr>
        <w:pStyle w:val="Source"/>
        <w:rPr>
          <w:rFonts w:ascii="Helvetica" w:hAnsi="Helvetica" w:cs="Helvetica"/>
          <w:color w:val="3F3F3F"/>
        </w:rPr>
      </w:pPr>
      <w:r>
        <w:t xml:space="preserve">Source: </w:t>
      </w:r>
      <w:r w:rsidR="005B21BB">
        <w:t xml:space="preserve">VicHealth. (2021). </w:t>
      </w:r>
      <w:hyperlink r:id="rId20" w:history="1">
        <w:r w:rsidR="005B21BB" w:rsidRPr="00F347A2">
          <w:rPr>
            <w:rStyle w:val="Hyperlink"/>
            <w:i/>
            <w:iCs/>
          </w:rPr>
          <w:t>Framing gender equality: Message guide</w:t>
        </w:r>
      </w:hyperlink>
      <w:r w:rsidR="005B21BB">
        <w:t>. Melbourne: Victorian Health Promotion Foundation.</w:t>
      </w:r>
    </w:p>
    <w:p w14:paraId="6A5BFAE8" w14:textId="77777777" w:rsidR="005B21BB" w:rsidRDefault="005B21BB" w:rsidP="00120BE4">
      <w:pPr>
        <w:pStyle w:val="Heading1"/>
      </w:pPr>
      <w:bookmarkStart w:id="3" w:name="_Toc101274649"/>
      <w:r>
        <w:lastRenderedPageBreak/>
        <w:t>Framing strategies</w:t>
      </w:r>
      <w:bookmarkEnd w:id="3"/>
    </w:p>
    <w:p w14:paraId="65B57344" w14:textId="77777777" w:rsidR="005B21BB" w:rsidRDefault="005B21BB" w:rsidP="00972490">
      <w:r>
        <w:t xml:space="preserve">Framing is about how you explain why an issue is important. Framing can influence how people think and feel about an issue and ultimately how they might respond to it. VicHealth’s (2020) </w:t>
      </w:r>
      <w:r w:rsidRPr="00972490">
        <w:rPr>
          <w:i/>
          <w:iCs/>
        </w:rPr>
        <w:t>Framing Masculinities: Message Guide</w:t>
      </w:r>
      <w:r>
        <w:t xml:space="preserve"> provides us with some useful insights on how to effectively frame the issue of gender equality when having a conversation with those in the moveable middle. Framing strategies include:</w:t>
      </w:r>
    </w:p>
    <w:p w14:paraId="7EBED79E" w14:textId="77777777" w:rsidR="005B21BB" w:rsidRDefault="005B21BB" w:rsidP="00972490">
      <w:pPr>
        <w:pStyle w:val="Bulletpoint"/>
      </w:pPr>
      <w:r>
        <w:t xml:space="preserve">Articulate the rationale and benefits for people of all genders; gender equality will benefit </w:t>
      </w:r>
      <w:r w:rsidRPr="006F4984">
        <w:rPr>
          <w:b/>
          <w:bCs/>
        </w:rPr>
        <w:t>everyone</w:t>
      </w:r>
      <w:r>
        <w:t>, not just women.</w:t>
      </w:r>
    </w:p>
    <w:p w14:paraId="7A62CCA5" w14:textId="6C318DD2" w:rsidR="005B21BB" w:rsidRDefault="005B21BB" w:rsidP="00972490">
      <w:pPr>
        <w:pStyle w:val="Bulletpoint"/>
      </w:pPr>
      <w:r>
        <w:t>Offer compelling accounts of the problem and solutions – real life stories about the change you’ve seen, or that your organisation has influenced, can be</w:t>
      </w:r>
      <w:r w:rsidR="004F7809">
        <w:t xml:space="preserve"> </w:t>
      </w:r>
      <w:r>
        <w:t>very powerful.</w:t>
      </w:r>
    </w:p>
    <w:p w14:paraId="3B51C68F" w14:textId="77777777" w:rsidR="005B21BB" w:rsidRDefault="005B21BB" w:rsidP="00972490">
      <w:pPr>
        <w:pStyle w:val="Bulletpoint"/>
      </w:pPr>
      <w:r>
        <w:rPr>
          <w:spacing w:val="-1"/>
        </w:rPr>
        <w:t>Acknowledge that gender is personal, interpersonal, institutional, and structural, involving unequal power relations. These conversations are about our personal lives and the system.</w:t>
      </w:r>
    </w:p>
    <w:p w14:paraId="2D5EE7ED" w14:textId="006533A7" w:rsidR="005E3B45" w:rsidRDefault="005E3B45" w:rsidP="00676FDA">
      <w:pPr>
        <w:pStyle w:val="Heading2"/>
      </w:pPr>
      <w:r>
        <w:t>Framing tips</w:t>
      </w:r>
    </w:p>
    <w:p w14:paraId="344C740E" w14:textId="75BB4BFC" w:rsidR="005E3B45" w:rsidRDefault="005B21BB" w:rsidP="005E3B45">
      <w:pPr>
        <w:pStyle w:val="Heading3"/>
      </w:pPr>
      <w:r>
        <w:t>1. Don’t pander to the vocal minority</w:t>
      </w:r>
    </w:p>
    <w:p w14:paraId="31E27A17" w14:textId="77777777" w:rsidR="005E3B45" w:rsidRDefault="005B21BB" w:rsidP="005E3B45">
      <w:r>
        <w:t xml:space="preserve">Resist the temptation to pander to arguments traditionally put forward by those who excuse or minimise men’s violence against </w:t>
      </w:r>
      <w:proofErr w:type="gramStart"/>
      <w:r>
        <w:t>women, or</w:t>
      </w:r>
      <w:proofErr w:type="gramEnd"/>
      <w:r>
        <w:t xml:space="preserve"> engage in myth-busting. Instead focus on telling your progressive story to </w:t>
      </w:r>
      <w:proofErr w:type="gramStart"/>
      <w:r>
        <w:t>the vast majority of</w:t>
      </w:r>
      <w:proofErr w:type="gramEnd"/>
      <w:r>
        <w:t xml:space="preserve"> people who are persuadable on the issue.</w:t>
      </w:r>
    </w:p>
    <w:p w14:paraId="006AE949" w14:textId="70F6CC71" w:rsidR="005B21BB" w:rsidRDefault="005E3B45" w:rsidP="006F4984">
      <w:pPr>
        <w:spacing w:after="80"/>
      </w:pPr>
      <w:r w:rsidRPr="005E3B45">
        <w:rPr>
          <w:b/>
          <w:bCs/>
        </w:rPr>
        <w:t>F</w:t>
      </w:r>
      <w:r w:rsidR="005B21BB" w:rsidRPr="005E3B45">
        <w:rPr>
          <w:b/>
          <w:bCs/>
        </w:rPr>
        <w:t>rom:</w:t>
      </w:r>
      <w:r>
        <w:t xml:space="preserve"> </w:t>
      </w:r>
      <w:r w:rsidR="005B21BB">
        <w:t>Men are not</w:t>
      </w:r>
      <w:r>
        <w:t xml:space="preserve"> </w:t>
      </w:r>
      <w:r w:rsidR="005B21BB">
        <w:t>naturally violent. They have been taught to use violence.</w:t>
      </w:r>
    </w:p>
    <w:p w14:paraId="3C999F00" w14:textId="14EAEAB0" w:rsidR="005E3B45" w:rsidRPr="00AE0CA0" w:rsidRDefault="005B21BB" w:rsidP="005E3B45">
      <w:pPr>
        <w:rPr>
          <w:b/>
          <w:bCs/>
        </w:rPr>
      </w:pPr>
      <w:r w:rsidRPr="005E3B45">
        <w:rPr>
          <w:b/>
          <w:bCs/>
        </w:rPr>
        <w:t>T</w:t>
      </w:r>
      <w:r w:rsidR="005E3B45" w:rsidRPr="005E3B45">
        <w:rPr>
          <w:b/>
          <w:bCs/>
        </w:rPr>
        <w:t>o</w:t>
      </w:r>
      <w:r w:rsidRPr="005E3B45">
        <w:rPr>
          <w:b/>
          <w:bCs/>
        </w:rPr>
        <w:t>:</w:t>
      </w:r>
      <w:r w:rsidR="005E3B45" w:rsidRPr="005E3B45">
        <w:rPr>
          <w:b/>
          <w:bCs/>
        </w:rPr>
        <w:t xml:space="preserve"> </w:t>
      </w:r>
      <w:r>
        <w:t>Men have been taught to use violence.</w:t>
      </w:r>
    </w:p>
    <w:p w14:paraId="120996EB" w14:textId="7CC5702A" w:rsidR="005B21BB" w:rsidRDefault="005B21BB" w:rsidP="00AE0CA0">
      <w:pPr>
        <w:pStyle w:val="Heading3"/>
      </w:pPr>
      <w:r>
        <w:t xml:space="preserve">2. </w:t>
      </w:r>
      <w:r w:rsidR="00AE0CA0">
        <w:t>B</w:t>
      </w:r>
      <w:r>
        <w:t>e solutions</w:t>
      </w:r>
      <w:r w:rsidR="004F7809">
        <w:t xml:space="preserve"> </w:t>
      </w:r>
      <w:r>
        <w:t>focused</w:t>
      </w:r>
    </w:p>
    <w:p w14:paraId="7590670D" w14:textId="77777777" w:rsidR="005E3B45" w:rsidRDefault="005B21BB" w:rsidP="005E3B45">
      <w:r>
        <w:t xml:space="preserve">Spend more time talking about people’s role in the solution and less time talking about their role in the problem, </w:t>
      </w:r>
      <w:proofErr w:type="gramStart"/>
      <w:r>
        <w:t>in order to</w:t>
      </w:r>
      <w:proofErr w:type="gramEnd"/>
      <w:r>
        <w:t xml:space="preserve"> avoid activating shame and defensiveness.</w:t>
      </w:r>
    </w:p>
    <w:p w14:paraId="7228413D" w14:textId="019EA542" w:rsidR="005B21BB" w:rsidRDefault="005E3B45" w:rsidP="006F4984">
      <w:pPr>
        <w:spacing w:after="80"/>
      </w:pPr>
      <w:r w:rsidRPr="005E3B45">
        <w:rPr>
          <w:b/>
          <w:bCs/>
        </w:rPr>
        <w:t>From:</w:t>
      </w:r>
      <w:r>
        <w:t xml:space="preserve"> </w:t>
      </w:r>
      <w:r w:rsidR="005B21BB">
        <w:t>All men do things that contribute to a culture of violence against women.</w:t>
      </w:r>
    </w:p>
    <w:p w14:paraId="0FBA9090" w14:textId="4837B080" w:rsidR="005B21BB" w:rsidRDefault="00AE0CA0" w:rsidP="005E3B45">
      <w:r w:rsidRPr="005E3B45">
        <w:rPr>
          <w:b/>
          <w:bCs/>
        </w:rPr>
        <w:t xml:space="preserve">To: </w:t>
      </w:r>
      <w:r w:rsidR="005B21BB">
        <w:t>There are things all men can do to end the culture of violence against women.</w:t>
      </w:r>
    </w:p>
    <w:p w14:paraId="67DCC289" w14:textId="77777777" w:rsidR="005E3B45" w:rsidRDefault="005B21BB" w:rsidP="00AE0CA0">
      <w:pPr>
        <w:pStyle w:val="Heading3"/>
      </w:pPr>
      <w:r>
        <w:t>3. Use the power of social norming</w:t>
      </w:r>
    </w:p>
    <w:p w14:paraId="34F00B1A" w14:textId="77777777" w:rsidR="005E3B45" w:rsidRDefault="005B21BB" w:rsidP="005E3B45">
      <w:r>
        <w:t>Don’t imply traditional masculine norms are ‘dominant’ or widely accepted. Instead, point out that most people think traditional masculine stereotypes are harmful and believe men should be freed from them.</w:t>
      </w:r>
    </w:p>
    <w:p w14:paraId="17C906D9" w14:textId="3E367DF6" w:rsidR="005B21BB" w:rsidRDefault="005E3B45" w:rsidP="006F4984">
      <w:pPr>
        <w:spacing w:after="80"/>
      </w:pPr>
      <w:r w:rsidRPr="005E3B45">
        <w:rPr>
          <w:b/>
          <w:bCs/>
        </w:rPr>
        <w:t>From:</w:t>
      </w:r>
      <w:r>
        <w:t xml:space="preserve"> </w:t>
      </w:r>
      <w:r w:rsidR="005B21BB">
        <w:t>Challenging outdated ideas of what it means to be a man is difficult because they are deeply embedded in our culture.</w:t>
      </w:r>
    </w:p>
    <w:p w14:paraId="6A6DD4AC" w14:textId="1B7AF44C" w:rsidR="005E3B45" w:rsidRDefault="00AE0CA0" w:rsidP="005E3B45">
      <w:r w:rsidRPr="005E3B45">
        <w:rPr>
          <w:b/>
          <w:bCs/>
        </w:rPr>
        <w:t xml:space="preserve">To: </w:t>
      </w:r>
      <w:proofErr w:type="gramStart"/>
      <w:r w:rsidR="005B21BB">
        <w:t>The vast majority of</w:t>
      </w:r>
      <w:proofErr w:type="gramEnd"/>
      <w:r w:rsidR="005B21BB">
        <w:t xml:space="preserve"> Australians do not agree with these outdated attitudes and are ready for change.</w:t>
      </w:r>
    </w:p>
    <w:p w14:paraId="524201C7" w14:textId="77E6C057" w:rsidR="005B21BB" w:rsidRDefault="005B21BB" w:rsidP="006F4984">
      <w:pPr>
        <w:pStyle w:val="Source"/>
        <w:rPr>
          <w:rFonts w:ascii="HeadlineGothicATF" w:hAnsi="HeadlineGothicATF" w:cs="HeadlineGothicATF"/>
        </w:rPr>
      </w:pPr>
      <w:r>
        <w:rPr>
          <w:rFonts w:ascii="Helvetica" w:hAnsi="Helvetica" w:cs="Helvetica"/>
        </w:rPr>
        <w:t xml:space="preserve">These tips have been adapted from VicHealth’s </w:t>
      </w:r>
      <w:hyperlink r:id="rId21" w:history="1">
        <w:r w:rsidRPr="00AE0CA0">
          <w:rPr>
            <w:rStyle w:val="Hyperlink"/>
          </w:rPr>
          <w:t>Framing Masculinity Message Guide (2020)</w:t>
        </w:r>
      </w:hyperlink>
      <w:r>
        <w:rPr>
          <w:rFonts w:ascii="Helvetica" w:hAnsi="Helvetica" w:cs="Helvetica"/>
        </w:rPr>
        <w:t>. Refer to this guide for more useful tips.</w:t>
      </w:r>
    </w:p>
    <w:p w14:paraId="494B1D10" w14:textId="77777777" w:rsidR="005B21BB" w:rsidRDefault="005B21BB" w:rsidP="00676FDA">
      <w:pPr>
        <w:pStyle w:val="Heading2"/>
      </w:pPr>
      <w:r>
        <w:lastRenderedPageBreak/>
        <w:t>Case study – Trades Hall Council</w:t>
      </w:r>
    </w:p>
    <w:p w14:paraId="61A6CC9F" w14:textId="24EC3DE8" w:rsidR="005B21BB" w:rsidRPr="00676FDA" w:rsidRDefault="005B21BB" w:rsidP="00D44CDC">
      <w:pPr>
        <w:pStyle w:val="BodyText13pt"/>
      </w:pPr>
      <w:r w:rsidRPr="00676FDA">
        <w:t>This VicHealth case study documents how the Victorian Trades Hall Council</w:t>
      </w:r>
      <w:r w:rsidR="004F7809" w:rsidRPr="00676FDA">
        <w:t xml:space="preserve"> </w:t>
      </w:r>
      <w:r w:rsidRPr="00676FDA">
        <w:t>successfully responded to resistance by linking gender equality to the existing</w:t>
      </w:r>
      <w:r w:rsidR="004F7809" w:rsidRPr="00676FDA">
        <w:t xml:space="preserve"> </w:t>
      </w:r>
      <w:r w:rsidRPr="00676FDA">
        <w:t xml:space="preserve">values of their audience and highlighting the value for the </w:t>
      </w:r>
      <w:proofErr w:type="gramStart"/>
      <w:r w:rsidRPr="00676FDA">
        <w:t>group as a whole</w:t>
      </w:r>
      <w:proofErr w:type="gramEnd"/>
      <w:r w:rsidRPr="00676FDA">
        <w:t>.</w:t>
      </w:r>
    </w:p>
    <w:p w14:paraId="5704D97C" w14:textId="09450D0D" w:rsidR="005B21BB" w:rsidRDefault="005B21BB" w:rsidP="00EE34F9">
      <w:r>
        <w:t>“In 2016, the Victorian Trades Hall Council launched</w:t>
      </w:r>
      <w:r w:rsidR="004F7809">
        <w:t xml:space="preserve"> </w:t>
      </w:r>
      <w:r>
        <w:t>their Stop Gendered Violence at Work campaign,</w:t>
      </w:r>
      <w:r w:rsidR="004F7809">
        <w:t xml:space="preserve"> </w:t>
      </w:r>
      <w:r>
        <w:t>which positions gendered violence, including sexism and discrimination, as a serious occupational health</w:t>
      </w:r>
      <w:r w:rsidR="004F7809">
        <w:t xml:space="preserve"> </w:t>
      </w:r>
      <w:r>
        <w:t>and safety hazard.</w:t>
      </w:r>
    </w:p>
    <w:p w14:paraId="2832327E" w14:textId="77777777" w:rsidR="004F7809" w:rsidRDefault="005B21BB" w:rsidP="00EE34F9">
      <w:pPr>
        <w:rPr>
          <w:spacing w:val="2"/>
        </w:rPr>
      </w:pPr>
      <w:r>
        <w:rPr>
          <w:spacing w:val="2"/>
        </w:rPr>
        <w:t>The</w:t>
      </w:r>
      <w:r w:rsidRPr="00676FDA">
        <w:t xml:space="preserve"> </w:t>
      </w:r>
      <w:r w:rsidRPr="00676FDA">
        <w:rPr>
          <w:i/>
          <w:iCs/>
        </w:rPr>
        <w:t>We Are Union Women</w:t>
      </w:r>
      <w:r w:rsidRPr="00676FDA">
        <w:t xml:space="preserve"> team has foun</w:t>
      </w:r>
      <w:r>
        <w:rPr>
          <w:spacing w:val="2"/>
        </w:rPr>
        <w:t>d that</w:t>
      </w:r>
      <w:r w:rsidR="004F7809">
        <w:rPr>
          <w:spacing w:val="2"/>
        </w:rPr>
        <w:t xml:space="preserve"> </w:t>
      </w:r>
      <w:r>
        <w:rPr>
          <w:spacing w:val="2"/>
        </w:rPr>
        <w:t>framing discussions around shared union values</w:t>
      </w:r>
      <w:r w:rsidR="004F7809">
        <w:rPr>
          <w:spacing w:val="2"/>
        </w:rPr>
        <w:t xml:space="preserve"> </w:t>
      </w:r>
      <w:r>
        <w:rPr>
          <w:spacing w:val="2"/>
        </w:rPr>
        <w:t>helps people connect with gender equality and</w:t>
      </w:r>
      <w:r w:rsidR="004F7809">
        <w:rPr>
          <w:spacing w:val="2"/>
        </w:rPr>
        <w:t xml:space="preserve"> </w:t>
      </w:r>
      <w:r>
        <w:rPr>
          <w:spacing w:val="2"/>
        </w:rPr>
        <w:t>makes the case for change.</w:t>
      </w:r>
    </w:p>
    <w:p w14:paraId="065E8D5E" w14:textId="77777777" w:rsidR="005E3B45" w:rsidRDefault="005B21BB" w:rsidP="00EE34F9">
      <w:r>
        <w:t>People are asked ‘what is union to you?’ with common responses including ‘social justice’, ‘standing strong together’, and ‘no one gets left behind’. The consistency of these broader values with gender equality principles provides a relatable point of connection and understanding.”</w:t>
      </w:r>
      <w:r>
        <w:rPr>
          <w:vertAlign w:val="superscript"/>
        </w:rPr>
        <w:footnoteReference w:id="3"/>
      </w:r>
    </w:p>
    <w:p w14:paraId="05C955B6" w14:textId="1284A946" w:rsidR="005B21BB" w:rsidRDefault="005B21BB" w:rsidP="00120BE4">
      <w:pPr>
        <w:pStyle w:val="Heading1"/>
      </w:pPr>
      <w:bookmarkStart w:id="4" w:name="_Toc101274650"/>
      <w:r>
        <w:lastRenderedPageBreak/>
        <w:t>Framing</w:t>
      </w:r>
      <w:r>
        <w:rPr>
          <w:spacing w:val="-2"/>
        </w:rPr>
        <w:t xml:space="preserve"> </w:t>
      </w:r>
      <w:r>
        <w:t>a</w:t>
      </w:r>
      <w:r>
        <w:rPr>
          <w:spacing w:val="-2"/>
        </w:rPr>
        <w:t xml:space="preserve"> </w:t>
      </w:r>
      <w:r>
        <w:t>response</w:t>
      </w:r>
      <w:bookmarkEnd w:id="4"/>
    </w:p>
    <w:p w14:paraId="6F821877" w14:textId="77777777" w:rsidR="005E3B45" w:rsidRPr="00676FDA" w:rsidRDefault="005B21BB" w:rsidP="00676FDA">
      <w:pPr>
        <w:rPr>
          <w:sz w:val="26"/>
          <w:szCs w:val="26"/>
        </w:rPr>
      </w:pPr>
      <w:r w:rsidRPr="00676FDA">
        <w:rPr>
          <w:sz w:val="26"/>
          <w:szCs w:val="26"/>
        </w:rPr>
        <w:t xml:space="preserve">IGLA Europe’s </w:t>
      </w:r>
      <w:r w:rsidRPr="00676FDA">
        <w:rPr>
          <w:i/>
          <w:iCs/>
          <w:sz w:val="26"/>
          <w:szCs w:val="26"/>
        </w:rPr>
        <w:t>Framing Equality Toolkit</w:t>
      </w:r>
      <w:r w:rsidRPr="00676FDA">
        <w:rPr>
          <w:sz w:val="26"/>
          <w:szCs w:val="26"/>
        </w:rPr>
        <w:t xml:space="preserve"> provides us with five steps you can follow when</w:t>
      </w:r>
      <w:r w:rsidR="004F7809" w:rsidRPr="00676FDA">
        <w:rPr>
          <w:sz w:val="26"/>
          <w:szCs w:val="26"/>
        </w:rPr>
        <w:t xml:space="preserve"> </w:t>
      </w:r>
      <w:r w:rsidRPr="00676FDA">
        <w:rPr>
          <w:sz w:val="26"/>
          <w:szCs w:val="26"/>
        </w:rPr>
        <w:t>constructing your framed response to resistance:</w:t>
      </w:r>
    </w:p>
    <w:p w14:paraId="0D99492B" w14:textId="746205B6" w:rsidR="005B21BB" w:rsidRDefault="005B21BB" w:rsidP="00676FDA">
      <w:pPr>
        <w:pStyle w:val="Heading2"/>
      </w:pPr>
      <w:r>
        <w:t>1. Speak to people’s best selves</w:t>
      </w:r>
    </w:p>
    <w:p w14:paraId="4C98B124" w14:textId="1EBB5FA2" w:rsidR="005B21BB" w:rsidRDefault="005B21BB" w:rsidP="00676FDA">
      <w:r>
        <w:t>Be willing to listen and appeal to the emotions and values of people’s better selves – the side that most people want to believe themselves to be on. This can significantly reduce people’s prejudices.</w:t>
      </w:r>
    </w:p>
    <w:p w14:paraId="18D0869A" w14:textId="77777777" w:rsidR="005B21BB" w:rsidRDefault="005B21BB" w:rsidP="00676FDA">
      <w:pPr>
        <w:pStyle w:val="Heading2"/>
      </w:pPr>
      <w:r>
        <w:t>2. Create common ground</w:t>
      </w:r>
    </w:p>
    <w:p w14:paraId="12C8713A" w14:textId="77777777" w:rsidR="005B21BB" w:rsidRDefault="005B21BB" w:rsidP="00676FDA">
      <w:r>
        <w:t>Find something you agree on and use it as a starting point. People will likely be more supportive if you can express your shared identity and build on common ground.</w:t>
      </w:r>
    </w:p>
    <w:p w14:paraId="472DCE94" w14:textId="77777777" w:rsidR="004F7809" w:rsidRDefault="005B21BB" w:rsidP="00676FDA">
      <w:pPr>
        <w:pStyle w:val="Heading2"/>
      </w:pPr>
      <w:r>
        <w:t>3. Talk about change</w:t>
      </w:r>
    </w:p>
    <w:p w14:paraId="2C1650CC" w14:textId="0A24F73E" w:rsidR="005B21BB" w:rsidRDefault="005B21BB" w:rsidP="00676FDA">
      <w:r>
        <w:t xml:space="preserve">Frame your issue in a way that makes change feel possible by using examples of success or evidence of how a particular action will create the desired change. The aim is to present a healthy balance of both positive and </w:t>
      </w:r>
      <w:proofErr w:type="gramStart"/>
      <w:r>
        <w:t>negative;</w:t>
      </w:r>
      <w:proofErr w:type="gramEnd"/>
      <w:r>
        <w:t xml:space="preserve"> problem and solution.</w:t>
      </w:r>
      <w:r>
        <w:tab/>
      </w:r>
    </w:p>
    <w:p w14:paraId="6F265B5A" w14:textId="77777777" w:rsidR="005B21BB" w:rsidRDefault="005B21BB" w:rsidP="00676FDA">
      <w:pPr>
        <w:pStyle w:val="Heading2"/>
      </w:pPr>
      <w:r>
        <w:t>4. Make it real</w:t>
      </w:r>
    </w:p>
    <w:p w14:paraId="2D8B8335" w14:textId="77777777" w:rsidR="005B21BB" w:rsidRDefault="005B21BB" w:rsidP="00676FDA">
      <w:r>
        <w:t>Make your argument human! You will be more successful at changing minds when you embed factual evidence within a broader message that draws on the values and emotions of an audience and tells a story about real people and experiences.</w:t>
      </w:r>
    </w:p>
    <w:p w14:paraId="5C355727" w14:textId="77777777" w:rsidR="005B21BB" w:rsidRDefault="005B21BB" w:rsidP="00676FDA">
      <w:pPr>
        <w:pStyle w:val="Heading2"/>
      </w:pPr>
      <w:r>
        <w:t>5. Avoid reinforcing unhelpful frames</w:t>
      </w:r>
    </w:p>
    <w:p w14:paraId="055D5747" w14:textId="01E791DA" w:rsidR="005B21BB" w:rsidRDefault="005B21BB" w:rsidP="0030164E">
      <w:r>
        <w:t xml:space="preserve">Don’t get too caught up in debunking people’s incorrect arguments, </w:t>
      </w:r>
      <w:proofErr w:type="gramStart"/>
      <w:r>
        <w:t>assumptions</w:t>
      </w:r>
      <w:proofErr w:type="gramEnd"/>
      <w:r>
        <w:t xml:space="preserve"> or biased ‘evidence’. This can often draw you into a messy debate that doesn’t </w:t>
      </w:r>
      <w:proofErr w:type="gramStart"/>
      <w:r>
        <w:t>actually serve</w:t>
      </w:r>
      <w:proofErr w:type="gramEnd"/>
      <w:r>
        <w:t xml:space="preserve"> to further your point or strengthen your frame. Instead, focus on spreading truths, sticking to your evidence and argument.</w:t>
      </w:r>
    </w:p>
    <w:p w14:paraId="68E9E5AE" w14:textId="77777777" w:rsidR="005B21BB" w:rsidRDefault="005B21BB" w:rsidP="00D44CDC">
      <w:pPr>
        <w:pStyle w:val="Source"/>
      </w:pPr>
      <w:r>
        <w:t xml:space="preserve">Adapted from Blackmore &amp; Sanderson. (2017). </w:t>
      </w:r>
      <w:hyperlink r:id="rId22" w:history="1">
        <w:r w:rsidRPr="00D44CDC">
          <w:rPr>
            <w:rStyle w:val="Hyperlink"/>
            <w:i/>
            <w:iCs/>
          </w:rPr>
          <w:t>Framing Equality Toolkit</w:t>
        </w:r>
      </w:hyperlink>
      <w:r>
        <w:t>, pg. 56. Public Interest Research Centre and ILGA-Europe.</w:t>
      </w:r>
    </w:p>
    <w:p w14:paraId="1086EE63" w14:textId="77777777" w:rsidR="004F7809" w:rsidRDefault="005B21BB" w:rsidP="00120BE4">
      <w:pPr>
        <w:pStyle w:val="Heading1"/>
      </w:pPr>
      <w:bookmarkStart w:id="5" w:name="_Toc101274651"/>
      <w:r>
        <w:lastRenderedPageBreak/>
        <w:t>Example resistance statement response</w:t>
      </w:r>
      <w:bookmarkEnd w:id="5"/>
    </w:p>
    <w:p w14:paraId="06F74DAA" w14:textId="77777777" w:rsidR="005E3B45" w:rsidRPr="00C726AD" w:rsidRDefault="005B21BB" w:rsidP="00C726AD">
      <w:pPr>
        <w:rPr>
          <w:sz w:val="26"/>
          <w:szCs w:val="26"/>
        </w:rPr>
      </w:pPr>
      <w:r w:rsidRPr="00C726AD">
        <w:rPr>
          <w:sz w:val="26"/>
          <w:szCs w:val="26"/>
        </w:rPr>
        <w:t>The following example shows how a common question about gendered violence can be</w:t>
      </w:r>
      <w:r w:rsidR="004F7809" w:rsidRPr="00C726AD">
        <w:rPr>
          <w:sz w:val="26"/>
          <w:szCs w:val="26"/>
        </w:rPr>
        <w:t xml:space="preserve"> </w:t>
      </w:r>
      <w:r w:rsidRPr="00C726AD">
        <w:rPr>
          <w:sz w:val="26"/>
          <w:szCs w:val="26"/>
        </w:rPr>
        <w:t>framed and responded using the five steps.</w:t>
      </w:r>
    </w:p>
    <w:p w14:paraId="715CA62A" w14:textId="4F4E39A9" w:rsidR="005B21BB" w:rsidRDefault="00330143" w:rsidP="00C726AD">
      <w:pPr>
        <w:rPr>
          <w:b/>
          <w:bCs/>
          <w:sz w:val="30"/>
          <w:szCs w:val="30"/>
        </w:rPr>
      </w:pPr>
      <w:r>
        <w:rPr>
          <w:b/>
          <w:bCs/>
          <w:sz w:val="30"/>
          <w:szCs w:val="30"/>
        </w:rPr>
        <w:t>“</w:t>
      </w:r>
      <w:r w:rsidR="005B21BB" w:rsidRPr="00C726AD">
        <w:rPr>
          <w:b/>
          <w:bCs/>
          <w:sz w:val="30"/>
          <w:szCs w:val="30"/>
        </w:rPr>
        <w:t>What about violence against men?</w:t>
      </w:r>
      <w:r>
        <w:rPr>
          <w:b/>
          <w:bCs/>
          <w:sz w:val="30"/>
          <w:szCs w:val="30"/>
        </w:rPr>
        <w:t>”</w:t>
      </w:r>
    </w:p>
    <w:p w14:paraId="52A8ABB7" w14:textId="085D151F" w:rsidR="00156AE9" w:rsidRDefault="00156AE9" w:rsidP="0043774A">
      <w:pPr>
        <w:pStyle w:val="Heading3"/>
      </w:pPr>
      <w:r w:rsidRPr="0030164E">
        <w:t>Speak to people’s best selves</w:t>
      </w:r>
    </w:p>
    <w:p w14:paraId="59EE9454" w14:textId="30BD3E3F" w:rsidR="00156AE9" w:rsidRDefault="00156AE9" w:rsidP="00C726AD">
      <w:r w:rsidRPr="0030164E">
        <w:t>I can tell you’re really concerned about the safety and wellbeing of men, and that’s great.</w:t>
      </w:r>
    </w:p>
    <w:p w14:paraId="7D3D70E3" w14:textId="748CC0E6" w:rsidR="00156AE9" w:rsidRDefault="00156AE9" w:rsidP="0043774A">
      <w:pPr>
        <w:pStyle w:val="Heading3"/>
      </w:pPr>
      <w:r w:rsidRPr="0030164E">
        <w:t>Create common ground</w:t>
      </w:r>
    </w:p>
    <w:p w14:paraId="758D0270" w14:textId="3DA38836" w:rsidR="0043774A" w:rsidRDefault="0043774A" w:rsidP="00C726AD">
      <w:r w:rsidRPr="0030164E">
        <w:t>I am too. All forms of violence and discrimination are unacceptable.</w:t>
      </w:r>
    </w:p>
    <w:p w14:paraId="2481C3DF" w14:textId="7E71CF2D" w:rsidR="0043774A" w:rsidRDefault="0043774A" w:rsidP="0043774A">
      <w:pPr>
        <w:pStyle w:val="Heading3"/>
      </w:pPr>
      <w:r w:rsidRPr="0030164E">
        <w:t>Talk about change</w:t>
      </w:r>
    </w:p>
    <w:p w14:paraId="1C81FE30" w14:textId="42014583" w:rsidR="0043774A" w:rsidRDefault="0043774A" w:rsidP="00C726AD">
      <w:r w:rsidRPr="0030164E">
        <w:t xml:space="preserve">To address these </w:t>
      </w:r>
      <w:proofErr w:type="gramStart"/>
      <w:r w:rsidRPr="0030164E">
        <w:t>issues</w:t>
      </w:r>
      <w:proofErr w:type="gramEnd"/>
      <w:r w:rsidRPr="0030164E">
        <w:t xml:space="preserve"> we have to understand the problem, and the fact that the problem of violence is gendered. Evidence consistently shows us that women and those perceived as gender nonconforming are much more likely than cis men to be victims of family and sexual violence, and cis men are the most likely perpetrators.</w:t>
      </w:r>
      <w:r w:rsidRPr="0030164E">
        <w:rPr>
          <w:vertAlign w:val="superscript"/>
        </w:rPr>
        <w:footnoteReference w:id="4"/>
      </w:r>
      <w:r w:rsidRPr="0030164E">
        <w:t xml:space="preserve"> </w:t>
      </w:r>
      <w:proofErr w:type="gramStart"/>
      <w:r w:rsidRPr="0030164E">
        <w:t>This impacts</w:t>
      </w:r>
      <w:proofErr w:type="gramEnd"/>
      <w:r w:rsidRPr="0030164E">
        <w:t xml:space="preserve"> everyone, including men. Rigid gender norms negatively impact men’s mental health and freedom to fully express themselves.</w:t>
      </w:r>
      <w:r w:rsidRPr="0030164E">
        <w:rPr>
          <w:vertAlign w:val="superscript"/>
        </w:rPr>
        <w:footnoteReference w:id="5"/>
      </w:r>
    </w:p>
    <w:p w14:paraId="022C8FC0" w14:textId="029367F5" w:rsidR="0043774A" w:rsidRDefault="0043774A" w:rsidP="0043774A">
      <w:pPr>
        <w:pStyle w:val="Heading3"/>
      </w:pPr>
      <w:r w:rsidRPr="0030164E">
        <w:t>Make it real</w:t>
      </w:r>
    </w:p>
    <w:p w14:paraId="5D39F7BA" w14:textId="13E1784F" w:rsidR="0043774A" w:rsidRDefault="0043774A" w:rsidP="00C726AD">
      <w:r w:rsidRPr="0030164E">
        <w:t xml:space="preserve">Gendered violence and inequality impact the lives of far too many people, </w:t>
      </w:r>
      <w:proofErr w:type="gramStart"/>
      <w:r w:rsidRPr="0030164E">
        <w:t>families</w:t>
      </w:r>
      <w:proofErr w:type="gramEnd"/>
      <w:r w:rsidRPr="0030164E">
        <w:t xml:space="preserve"> and entire communities. It doesn’t have to be this way.</w:t>
      </w:r>
    </w:p>
    <w:p w14:paraId="326EFAA2" w14:textId="53B56D59" w:rsidR="0043774A" w:rsidRDefault="0043774A" w:rsidP="0043774A">
      <w:pPr>
        <w:pStyle w:val="Heading3"/>
      </w:pPr>
      <w:r w:rsidRPr="0030164E">
        <w:t>Avoid reinforcing unhelpful frames</w:t>
      </w:r>
    </w:p>
    <w:p w14:paraId="393B0CAB" w14:textId="2961C939" w:rsidR="0043774A" w:rsidRPr="00C726AD" w:rsidRDefault="0043774A" w:rsidP="00C726AD">
      <w:pPr>
        <w:rPr>
          <w:b/>
          <w:bCs/>
          <w:sz w:val="30"/>
          <w:szCs w:val="30"/>
        </w:rPr>
      </w:pPr>
      <w:r w:rsidRPr="0030164E">
        <w:t xml:space="preserve">We all have the power to create </w:t>
      </w:r>
      <w:proofErr w:type="gramStart"/>
      <w:r w:rsidRPr="0030164E">
        <w:t>change, and</w:t>
      </w:r>
      <w:proofErr w:type="gramEnd"/>
      <w:r w:rsidRPr="0030164E">
        <w:t xml:space="preserve"> build a society where everyone can thrive.</w:t>
      </w:r>
    </w:p>
    <w:p w14:paraId="59F245BA" w14:textId="77777777" w:rsidR="004F7809" w:rsidRDefault="005B21BB" w:rsidP="0030164E">
      <w:pPr>
        <w:spacing w:before="400"/>
        <w:ind w:right="2835"/>
      </w:pPr>
      <w:r>
        <w:t>“Resistance can be at its greatest when existing structures are threatened. The idea of equality can provoke strong feelings – these are long-held social norms that are being challenged. You often know you’re starting to get results with your gender equality initiatives when you meet resistance.”</w:t>
      </w:r>
      <w:r>
        <w:rPr>
          <w:vertAlign w:val="superscript"/>
        </w:rPr>
        <w:footnoteReference w:id="6"/>
      </w:r>
    </w:p>
    <w:p w14:paraId="230B0D72" w14:textId="77777777" w:rsidR="005E3B45" w:rsidRDefault="005B21BB" w:rsidP="00C726AD">
      <w:r>
        <w:t>(VicHealth 2018)</w:t>
      </w:r>
    </w:p>
    <w:p w14:paraId="68B943B4" w14:textId="586B2F86" w:rsidR="005B21BB" w:rsidRDefault="005B21BB" w:rsidP="00120BE4">
      <w:pPr>
        <w:pStyle w:val="Heading1"/>
      </w:pPr>
      <w:bookmarkStart w:id="6" w:name="_Toc101274652"/>
      <w:r>
        <w:lastRenderedPageBreak/>
        <w:t>Tips</w:t>
      </w:r>
      <w:r>
        <w:rPr>
          <w:spacing w:val="-2"/>
        </w:rPr>
        <w:t xml:space="preserve"> </w:t>
      </w:r>
      <w:r>
        <w:t>when</w:t>
      </w:r>
      <w:r>
        <w:rPr>
          <w:spacing w:val="-2"/>
        </w:rPr>
        <w:t xml:space="preserve"> </w:t>
      </w:r>
      <w:r>
        <w:t>responding</w:t>
      </w:r>
      <w:r>
        <w:rPr>
          <w:spacing w:val="-2"/>
        </w:rPr>
        <w:t xml:space="preserve"> </w:t>
      </w:r>
      <w:r>
        <w:t>to</w:t>
      </w:r>
      <w:r>
        <w:rPr>
          <w:spacing w:val="-2"/>
        </w:rPr>
        <w:t xml:space="preserve"> </w:t>
      </w:r>
      <w:r>
        <w:t>resistance</w:t>
      </w:r>
      <w:bookmarkEnd w:id="6"/>
    </w:p>
    <w:p w14:paraId="40589524" w14:textId="77777777" w:rsidR="005E3B45" w:rsidRPr="00330143" w:rsidRDefault="005B21BB" w:rsidP="00D44CDC">
      <w:pPr>
        <w:pStyle w:val="BodyText13pt"/>
      </w:pPr>
      <w:r w:rsidRPr="00330143">
        <w:t xml:space="preserve">While it’s not always possible to pre-empt resistance, it can help to be prepared </w:t>
      </w:r>
      <w:proofErr w:type="gramStart"/>
      <w:r w:rsidRPr="00330143">
        <w:t>in the event</w:t>
      </w:r>
      <w:r w:rsidR="004F7809" w:rsidRPr="00330143">
        <w:t xml:space="preserve"> </w:t>
      </w:r>
      <w:r w:rsidRPr="00330143">
        <w:t>that</w:t>
      </w:r>
      <w:proofErr w:type="gramEnd"/>
      <w:r w:rsidRPr="00330143">
        <w:t xml:space="preserve"> you do. Below are some tips you can use before, during and after a resistance statement</w:t>
      </w:r>
      <w:r w:rsidR="004F7809" w:rsidRPr="00330143">
        <w:t xml:space="preserve"> </w:t>
      </w:r>
      <w:r w:rsidRPr="00330143">
        <w:t>to help in this process.</w:t>
      </w:r>
    </w:p>
    <w:p w14:paraId="4DC308D0" w14:textId="7A0F846F" w:rsidR="005B21BB" w:rsidRDefault="005B21BB" w:rsidP="00330143">
      <w:pPr>
        <w:pStyle w:val="Heading2"/>
      </w:pPr>
      <w:r>
        <w:t>Before</w:t>
      </w:r>
    </w:p>
    <w:p w14:paraId="7F66A332" w14:textId="77777777" w:rsidR="004F7809" w:rsidRDefault="005B21BB" w:rsidP="00330143">
      <w:pPr>
        <w:pStyle w:val="Heading3"/>
        <w:rPr>
          <w:sz w:val="32"/>
          <w:szCs w:val="32"/>
        </w:rPr>
      </w:pPr>
      <w:r>
        <w:t>1. Be prepared</w:t>
      </w:r>
    </w:p>
    <w:p w14:paraId="0751498A" w14:textId="3E69E443" w:rsidR="005B21BB" w:rsidRDefault="005B21BB" w:rsidP="00EE34F9">
      <w:r>
        <w:t>Plan and organise your information.</w:t>
      </w:r>
      <w:r w:rsidR="004F7809">
        <w:t xml:space="preserve"> </w:t>
      </w:r>
      <w:r>
        <w:t>Consider your audience and what</w:t>
      </w:r>
      <w:r w:rsidR="004F7809">
        <w:t xml:space="preserve"> </w:t>
      </w:r>
      <w:r>
        <w:t>questions they might have. You can always reach out to colleagues, communities of practice and other specialist organisations</w:t>
      </w:r>
      <w:r w:rsidR="004F7809">
        <w:t xml:space="preserve"> </w:t>
      </w:r>
      <w:r>
        <w:t>for support when preparing for resistance.</w:t>
      </w:r>
    </w:p>
    <w:p w14:paraId="547EEFC0" w14:textId="77777777" w:rsidR="005B21BB" w:rsidRDefault="005B21BB" w:rsidP="00330143">
      <w:pPr>
        <w:pStyle w:val="Heading3"/>
      </w:pPr>
      <w:r>
        <w:t>2. Practice talking about the issue</w:t>
      </w:r>
    </w:p>
    <w:p w14:paraId="66C34D9A" w14:textId="77777777" w:rsidR="004F7809" w:rsidRDefault="005B21BB" w:rsidP="00EE34F9">
      <w:r>
        <w:t>Practice your responses and arguments</w:t>
      </w:r>
      <w:r w:rsidR="004F7809">
        <w:t xml:space="preserve"> </w:t>
      </w:r>
      <w:r>
        <w:t>to get comfortable with the information.</w:t>
      </w:r>
    </w:p>
    <w:p w14:paraId="04D8745C" w14:textId="77777777" w:rsidR="005E3B45" w:rsidRDefault="005B21BB" w:rsidP="00EE34F9">
      <w:r>
        <w:t>Take some time to understand the evidence base and your own point of view. Speak from your heart as well as your head.</w:t>
      </w:r>
    </w:p>
    <w:p w14:paraId="22F5E604" w14:textId="72997989" w:rsidR="005B21BB" w:rsidRDefault="005B21BB" w:rsidP="00330143">
      <w:pPr>
        <w:pStyle w:val="Heading3"/>
      </w:pPr>
      <w:r>
        <w:t>3. Understand backlash is inevitable</w:t>
      </w:r>
    </w:p>
    <w:p w14:paraId="241F9EF0" w14:textId="77777777" w:rsidR="004F7809" w:rsidRDefault="005B21BB" w:rsidP="00EE34F9">
      <w:r>
        <w:t xml:space="preserve">Acknowledge that change takes </w:t>
      </w:r>
      <w:proofErr w:type="gramStart"/>
      <w:r>
        <w:t>time</w:t>
      </w:r>
      <w:proofErr w:type="gramEnd"/>
      <w:r>
        <w:t xml:space="preserve"> and some people take longer to be part of</w:t>
      </w:r>
      <w:r w:rsidR="004F7809">
        <w:t xml:space="preserve"> </w:t>
      </w:r>
      <w:r>
        <w:t>the change process than others.</w:t>
      </w:r>
    </w:p>
    <w:p w14:paraId="00FBA4D3" w14:textId="6D850BB9" w:rsidR="005B21BB" w:rsidRDefault="005B21BB" w:rsidP="00EE34F9">
      <w:r>
        <w:t>Be kind to yourself and allow time for individual conversations and relationships</w:t>
      </w:r>
      <w:r w:rsidR="004F7809">
        <w:t xml:space="preserve"> </w:t>
      </w:r>
      <w:r>
        <w:t>to develop.</w:t>
      </w:r>
    </w:p>
    <w:p w14:paraId="4BB7195C" w14:textId="77777777" w:rsidR="004F7809" w:rsidRDefault="005B21BB" w:rsidP="00330143">
      <w:pPr>
        <w:pStyle w:val="Heading3"/>
      </w:pPr>
      <w:r>
        <w:t>4. Check in with yourself</w:t>
      </w:r>
    </w:p>
    <w:p w14:paraId="30BA622A" w14:textId="77777777" w:rsidR="004F7809" w:rsidRDefault="005B21BB" w:rsidP="00EE34F9">
      <w:r>
        <w:t>Consider the audience, setting, dynamics</w:t>
      </w:r>
      <w:r w:rsidR="004F7809">
        <w:t xml:space="preserve"> </w:t>
      </w:r>
      <w:r>
        <w:t>of previous conversations, and where you</w:t>
      </w:r>
      <w:r w:rsidR="004F7809">
        <w:t xml:space="preserve"> </w:t>
      </w:r>
      <w:r>
        <w:t>are at emotionally.</w:t>
      </w:r>
    </w:p>
    <w:p w14:paraId="18AE6B09" w14:textId="4A54C29A" w:rsidR="005B21BB" w:rsidRDefault="005B21BB" w:rsidP="00EE34F9">
      <w:r>
        <w:t>You are not required to respond to every statement of resistance in your personal</w:t>
      </w:r>
      <w:r w:rsidR="004F7809">
        <w:t xml:space="preserve"> </w:t>
      </w:r>
      <w:r>
        <w:t>and/or professional life.</w:t>
      </w:r>
    </w:p>
    <w:p w14:paraId="764D08D1" w14:textId="695CFE91" w:rsidR="005B21BB" w:rsidRDefault="005B21BB" w:rsidP="00EE34F9">
      <w:pPr>
        <w:rPr>
          <w:rFonts w:ascii="HeadlineGothicATF" w:hAnsi="HeadlineGothicATF" w:cs="HeadlineGothicATF"/>
          <w:sz w:val="28"/>
          <w:szCs w:val="28"/>
        </w:rPr>
      </w:pPr>
      <w:r>
        <w:t>Remember, there may be some people</w:t>
      </w:r>
      <w:r w:rsidR="004F7809">
        <w:t xml:space="preserve"> </w:t>
      </w:r>
      <w:r>
        <w:t>who will never be persuaded.</w:t>
      </w:r>
    </w:p>
    <w:p w14:paraId="43E7DF96" w14:textId="77777777" w:rsidR="00D44CDC" w:rsidRPr="00D44CDC" w:rsidRDefault="00D44CDC" w:rsidP="00D44CDC">
      <w:r w:rsidRPr="00D44CDC">
        <w:br w:type="page"/>
      </w:r>
    </w:p>
    <w:p w14:paraId="04581DE2" w14:textId="73489E25" w:rsidR="005B21BB" w:rsidRDefault="005B21BB" w:rsidP="00330143">
      <w:pPr>
        <w:pStyle w:val="Heading2"/>
      </w:pPr>
      <w:r>
        <w:lastRenderedPageBreak/>
        <w:t>During</w:t>
      </w:r>
    </w:p>
    <w:p w14:paraId="437F266B" w14:textId="77777777" w:rsidR="005B21BB" w:rsidRDefault="005B21BB" w:rsidP="00330143">
      <w:pPr>
        <w:pStyle w:val="Heading3"/>
      </w:pPr>
      <w:r>
        <w:t>1. Acknowledge the question</w:t>
      </w:r>
    </w:p>
    <w:p w14:paraId="442568E4" w14:textId="77777777" w:rsidR="004F7809" w:rsidRDefault="005B21BB" w:rsidP="00EE34F9">
      <w:r>
        <w:t>Acknowledging that you have heard the person’s question or statement can be a helpful way to begin a respectful conversation.</w:t>
      </w:r>
    </w:p>
    <w:p w14:paraId="732109CD" w14:textId="7954C563" w:rsidR="005B21BB" w:rsidRDefault="005B21BB" w:rsidP="00330143">
      <w:pPr>
        <w:pStyle w:val="Heading3"/>
      </w:pPr>
      <w:r>
        <w:t>2. Clarify their concern</w:t>
      </w:r>
    </w:p>
    <w:p w14:paraId="2CC5D01F" w14:textId="77777777" w:rsidR="004F7809" w:rsidRDefault="005B21BB" w:rsidP="00EE34F9">
      <w:r>
        <w:t>Seeking clarification is important for understanding and responding to a question. You can do this by repeating the question</w:t>
      </w:r>
      <w:r w:rsidR="004F7809">
        <w:t xml:space="preserve"> </w:t>
      </w:r>
      <w:r>
        <w:t>or statement.</w:t>
      </w:r>
    </w:p>
    <w:p w14:paraId="0937EFF5" w14:textId="77777777" w:rsidR="005E3B45" w:rsidRDefault="005B21BB" w:rsidP="00EE34F9">
      <w:r>
        <w:t>Clarifying also gives you more time to</w:t>
      </w:r>
      <w:r w:rsidR="004F7809">
        <w:t xml:space="preserve"> </w:t>
      </w:r>
      <w:r>
        <w:t>respond and consider where the resistance</w:t>
      </w:r>
      <w:r w:rsidR="004F7809">
        <w:t xml:space="preserve"> </w:t>
      </w:r>
      <w:r>
        <w:t>is stemming from.</w:t>
      </w:r>
    </w:p>
    <w:p w14:paraId="645099D3" w14:textId="7EF49CFF" w:rsidR="005B21BB" w:rsidRDefault="005B21BB" w:rsidP="00330143">
      <w:pPr>
        <w:pStyle w:val="Heading3"/>
      </w:pPr>
      <w:r>
        <w:t>3. Communicate your response</w:t>
      </w:r>
    </w:p>
    <w:p w14:paraId="6AB32F4A" w14:textId="77777777" w:rsidR="004F7809" w:rsidRDefault="005B21BB" w:rsidP="00EE34F9">
      <w:r>
        <w:t xml:space="preserve">It’s important to respond with a strong, </w:t>
      </w:r>
      <w:proofErr w:type="gramStart"/>
      <w:r>
        <w:t>clear</w:t>
      </w:r>
      <w:proofErr w:type="gramEnd"/>
      <w:r>
        <w:t xml:space="preserve"> and concise statement. Engage respectfully. </w:t>
      </w:r>
      <w:r>
        <w:rPr>
          <w:spacing w:val="-1"/>
        </w:rPr>
        <w:t>This will increase the likelihood that the person will be open to receiving the message.</w:t>
      </w:r>
    </w:p>
    <w:p w14:paraId="007F5F00" w14:textId="3BCE0C1B" w:rsidR="005B21BB" w:rsidRDefault="005B21BB" w:rsidP="00330143">
      <w:pPr>
        <w:pStyle w:val="Heading3"/>
      </w:pPr>
      <w:r>
        <w:t>4. Be open and show curiosity</w:t>
      </w:r>
    </w:p>
    <w:p w14:paraId="316C2F6F" w14:textId="77777777" w:rsidR="005B21BB" w:rsidRDefault="005B21BB" w:rsidP="00EE34F9">
      <w:r>
        <w:t>Always being right or having the final say does not allow for an open and safe discussion. Look for common ground and shared values.</w:t>
      </w:r>
    </w:p>
    <w:p w14:paraId="1E648427" w14:textId="77777777" w:rsidR="005B21BB" w:rsidRDefault="005B21BB" w:rsidP="00330143">
      <w:pPr>
        <w:pStyle w:val="Heading3"/>
      </w:pPr>
      <w:r>
        <w:t>5. Refer to the evidence</w:t>
      </w:r>
    </w:p>
    <w:p w14:paraId="112E8E68" w14:textId="62D9BD36" w:rsidR="005B21BB" w:rsidRDefault="005B21BB" w:rsidP="00EE34F9">
      <w:r>
        <w:t>Draw on evidence and knowledge you organised earlier. Try not to get drawn</w:t>
      </w:r>
      <w:r w:rsidR="004F7809">
        <w:t xml:space="preserve"> </w:t>
      </w:r>
      <w:r>
        <w:t>into debunking myths, instead stand firm</w:t>
      </w:r>
      <w:r w:rsidR="004F7809">
        <w:t xml:space="preserve"> </w:t>
      </w:r>
      <w:r>
        <w:t>on what you know to be true.</w:t>
      </w:r>
    </w:p>
    <w:p w14:paraId="4219F523" w14:textId="77777777" w:rsidR="005B21BB" w:rsidRDefault="005B21BB" w:rsidP="00330143">
      <w:pPr>
        <w:pStyle w:val="Heading2"/>
      </w:pPr>
      <w:r>
        <w:t>After</w:t>
      </w:r>
    </w:p>
    <w:p w14:paraId="78DE12E2" w14:textId="77777777" w:rsidR="005B21BB" w:rsidRDefault="005B21BB" w:rsidP="00330143">
      <w:pPr>
        <w:pStyle w:val="Heading3"/>
      </w:pPr>
      <w:r>
        <w:t>1. Make time for self-reflection</w:t>
      </w:r>
    </w:p>
    <w:p w14:paraId="7A8759C4" w14:textId="4BE107D7" w:rsidR="005B21BB" w:rsidRDefault="005B21BB" w:rsidP="00EE34F9">
      <w:r>
        <w:t>Reflect on how your discussions went</w:t>
      </w:r>
      <w:r w:rsidR="004F7809">
        <w:t xml:space="preserve"> </w:t>
      </w:r>
      <w:r>
        <w:t>and the assumptions and values you</w:t>
      </w:r>
      <w:r w:rsidR="004F7809">
        <w:t xml:space="preserve"> </w:t>
      </w:r>
      <w:r>
        <w:t>bring to your work.</w:t>
      </w:r>
    </w:p>
    <w:p w14:paraId="28B9C58D" w14:textId="77777777" w:rsidR="005E3B45" w:rsidRDefault="005B21BB" w:rsidP="00EE34F9">
      <w:r>
        <w:t>Ask if the resistance is particularly significant and needs to be managed differently</w:t>
      </w:r>
      <w:r w:rsidR="004F7809">
        <w:t xml:space="preserve"> </w:t>
      </w:r>
      <w:r>
        <w:t>(</w:t>
      </w:r>
      <w:proofErr w:type="gramStart"/>
      <w:r>
        <w:t>e.g.</w:t>
      </w:r>
      <w:proofErr w:type="gramEnd"/>
      <w:r>
        <w:t xml:space="preserve"> through organisational approaches,</w:t>
      </w:r>
      <w:r w:rsidR="004F7809">
        <w:t xml:space="preserve"> </w:t>
      </w:r>
      <w:r>
        <w:t>or changes in engagement).</w:t>
      </w:r>
    </w:p>
    <w:p w14:paraId="2D21E8B3" w14:textId="41FD2D25" w:rsidR="005B21BB" w:rsidRDefault="005B21BB" w:rsidP="00330143">
      <w:pPr>
        <w:pStyle w:val="Heading3"/>
      </w:pPr>
      <w:r>
        <w:t>2. Be aware of available support</w:t>
      </w:r>
    </w:p>
    <w:p w14:paraId="08E8F1CC" w14:textId="77777777" w:rsidR="005B21BB" w:rsidRDefault="005B21BB" w:rsidP="00EE34F9">
      <w:r>
        <w:t>Some forms of backlash can be distressing, such as heated discussions or disrespectful behaviour, especially on an on-going basis.</w:t>
      </w:r>
    </w:p>
    <w:p w14:paraId="1BE893D2" w14:textId="77777777" w:rsidR="004F7809" w:rsidRDefault="005B21BB" w:rsidP="00EE34F9">
      <w:r>
        <w:t>Be aware of available supports such as debriefing with a team member or counselling through the Employment Assistance Program.</w:t>
      </w:r>
    </w:p>
    <w:p w14:paraId="2FDFBFAA" w14:textId="32C0722A" w:rsidR="005B21BB" w:rsidRDefault="005B21BB" w:rsidP="00EE34F9">
      <w:r>
        <w:t>If you find there is not enough support</w:t>
      </w:r>
      <w:r w:rsidR="004F7809">
        <w:t xml:space="preserve"> </w:t>
      </w:r>
      <w:r>
        <w:t>at your workplace, you are well within</w:t>
      </w:r>
      <w:r w:rsidR="004F7809">
        <w:t xml:space="preserve"> </w:t>
      </w:r>
      <w:r>
        <w:t>your rights to ask for more.</w:t>
      </w:r>
    </w:p>
    <w:p w14:paraId="35C89BA0" w14:textId="77777777" w:rsidR="005B21BB" w:rsidRDefault="005B21BB" w:rsidP="00D44CDC">
      <w:pPr>
        <w:pStyle w:val="Source"/>
      </w:pPr>
      <w:r>
        <w:t xml:space="preserve">Adapted from </w:t>
      </w:r>
      <w:proofErr w:type="spellStart"/>
      <w:r>
        <w:t>Deathe</w:t>
      </w:r>
      <w:proofErr w:type="spellEnd"/>
      <w:r>
        <w:t xml:space="preserve"> &amp; Rich. (2015). </w:t>
      </w:r>
      <w:hyperlink r:id="rId23" w:history="1">
        <w:r w:rsidRPr="00330143">
          <w:rPr>
            <w:i/>
            <w:iCs/>
          </w:rPr>
          <w:t>Speaking publicly about preventing men’s violence against women: Curly question and language considerations</w:t>
        </w:r>
      </w:hyperlink>
      <w:r>
        <w:t>, pg. 17-18. Melbourne: Women’s Health West.</w:t>
      </w:r>
    </w:p>
    <w:p w14:paraId="6C070BCF" w14:textId="78641CA1" w:rsidR="005B21BB" w:rsidRDefault="005B21BB" w:rsidP="00120BE4">
      <w:pPr>
        <w:pStyle w:val="Heading1"/>
      </w:pPr>
      <w:bookmarkStart w:id="7" w:name="_Toc101274653"/>
      <w:r>
        <w:lastRenderedPageBreak/>
        <w:t>Worker wel</w:t>
      </w:r>
      <w:r w:rsidR="00AB1A71">
        <w:t>l</w:t>
      </w:r>
      <w:r>
        <w:t>being</w:t>
      </w:r>
      <w:bookmarkEnd w:id="7"/>
    </w:p>
    <w:p w14:paraId="655CF75D" w14:textId="77777777" w:rsidR="005B21BB" w:rsidRDefault="005B21BB" w:rsidP="00D44CDC">
      <w:pPr>
        <w:pStyle w:val="BodyText13pt"/>
      </w:pPr>
      <w:r>
        <w:t>Even when you feel prepared and walk away from experiencing resistance feeling successful, responding to resistance can be an emotional and impactful process. Your wellbeing is an important consideration in how and why you respond to resistance in your work.</w:t>
      </w:r>
    </w:p>
    <w:p w14:paraId="3A8A8B85" w14:textId="059E7FAC" w:rsidR="005B21BB" w:rsidRDefault="005B21BB" w:rsidP="00EE34F9">
      <w:r>
        <w:t>While there are likely things you do to help you manage your own wellbeing, the onus is not on you alone. Worker wellbeing acknowledges that organisations are responsible for ensuring healthy and sustainable workplace practices and culture to enable you</w:t>
      </w:r>
      <w:r w:rsidR="004F7809">
        <w:t xml:space="preserve"> </w:t>
      </w:r>
      <w:r>
        <w:t>to work safely, sustainability and meaningfully.</w:t>
      </w:r>
    </w:p>
    <w:p w14:paraId="701733E5" w14:textId="651A682B" w:rsidR="005B21BB" w:rsidRDefault="005B21BB" w:rsidP="00EE34F9">
      <w:r>
        <w:rPr>
          <w:spacing w:val="-1"/>
        </w:rPr>
        <w:t>Knowing what poor or reduced worker wellbeing</w:t>
      </w:r>
      <w:r w:rsidR="004F7809">
        <w:rPr>
          <w:spacing w:val="-1"/>
        </w:rPr>
        <w:t xml:space="preserve"> </w:t>
      </w:r>
      <w:r>
        <w:rPr>
          <w:spacing w:val="-2"/>
        </w:rPr>
        <w:t>looks like in ourselves and others is key to understanding</w:t>
      </w:r>
      <w:r>
        <w:rPr>
          <w:spacing w:val="-1"/>
        </w:rPr>
        <w:t xml:space="preserve"> how we can work with our colleagues and managers</w:t>
      </w:r>
      <w:r w:rsidR="004F7809">
        <w:rPr>
          <w:spacing w:val="-1"/>
        </w:rPr>
        <w:t xml:space="preserve"> </w:t>
      </w:r>
      <w:r>
        <w:rPr>
          <w:spacing w:val="-1"/>
        </w:rPr>
        <w:t>to prevent it. Some examples include:</w:t>
      </w:r>
    </w:p>
    <w:p w14:paraId="452EDC71" w14:textId="6C43A5B1" w:rsidR="005B21BB" w:rsidRDefault="005C1095" w:rsidP="00D44CDC">
      <w:pPr>
        <w:pStyle w:val="Bulletpoint"/>
      </w:pPr>
      <w:r>
        <w:t>Frequent sick days or mental health days</w:t>
      </w:r>
    </w:p>
    <w:p w14:paraId="7A385E06" w14:textId="460BF596" w:rsidR="005C1095" w:rsidRDefault="005C1095" w:rsidP="00D44CDC">
      <w:pPr>
        <w:pStyle w:val="Bulletpoint"/>
      </w:pPr>
      <w:r>
        <w:t>Feelings of apathy and disinterest</w:t>
      </w:r>
    </w:p>
    <w:p w14:paraId="6607FF00" w14:textId="286A8052" w:rsidR="005C1095" w:rsidRDefault="005C1095" w:rsidP="00D44CDC">
      <w:pPr>
        <w:pStyle w:val="Bulletpoint"/>
      </w:pPr>
      <w:r>
        <w:t>Physical and emotional stress</w:t>
      </w:r>
    </w:p>
    <w:p w14:paraId="62984177" w14:textId="071EF120" w:rsidR="005C1095" w:rsidRDefault="005C1095" w:rsidP="00D44CDC">
      <w:pPr>
        <w:pStyle w:val="Bulletpoint"/>
      </w:pPr>
      <w:r>
        <w:t>Feeling under pressure, powerless and overwhelmed</w:t>
      </w:r>
    </w:p>
    <w:p w14:paraId="1EF5BD40" w14:textId="48896717" w:rsidR="005C1095" w:rsidRDefault="005C1095" w:rsidP="00D44CDC">
      <w:pPr>
        <w:pStyle w:val="Bulletpoint"/>
      </w:pPr>
      <w:r>
        <w:t>Unable to properly refuel and regenerate</w:t>
      </w:r>
    </w:p>
    <w:p w14:paraId="3A135971" w14:textId="1931EAF8" w:rsidR="005C1095" w:rsidRDefault="005C1095" w:rsidP="00D44CDC">
      <w:pPr>
        <w:pStyle w:val="Bulletpoint"/>
      </w:pPr>
      <w:r>
        <w:t>Irritability and anger</w:t>
      </w:r>
    </w:p>
    <w:p w14:paraId="100A01E6" w14:textId="6779F53A" w:rsidR="005C1095" w:rsidRDefault="005C1095" w:rsidP="00D44CDC">
      <w:pPr>
        <w:pStyle w:val="Bulletpoint"/>
      </w:pPr>
      <w:r>
        <w:t>Not taking breaks, eating on the run</w:t>
      </w:r>
    </w:p>
    <w:p w14:paraId="13852E68" w14:textId="5B46CBF9" w:rsidR="005C1095" w:rsidRDefault="005C1095" w:rsidP="00D44CDC">
      <w:pPr>
        <w:pStyle w:val="Bulletpoint"/>
      </w:pPr>
      <w:r>
        <w:t>Low job satisfaction.</w:t>
      </w:r>
    </w:p>
    <w:p w14:paraId="31CBA54E" w14:textId="77777777" w:rsidR="005B21BB" w:rsidRDefault="005B21BB" w:rsidP="00120BE4">
      <w:pPr>
        <w:pStyle w:val="Heading1"/>
      </w:pPr>
      <w:bookmarkStart w:id="8" w:name="_Toc101274654"/>
      <w:r>
        <w:lastRenderedPageBreak/>
        <w:t>Sustaining</w:t>
      </w:r>
      <w:r>
        <w:rPr>
          <w:spacing w:val="-3"/>
        </w:rPr>
        <w:t xml:space="preserve"> </w:t>
      </w:r>
      <w:r>
        <w:t>worker</w:t>
      </w:r>
      <w:r>
        <w:rPr>
          <w:spacing w:val="-2"/>
        </w:rPr>
        <w:t xml:space="preserve"> </w:t>
      </w:r>
      <w:r>
        <w:t>wellbeing</w:t>
      </w:r>
      <w:bookmarkEnd w:id="8"/>
    </w:p>
    <w:p w14:paraId="6C917B66" w14:textId="77777777" w:rsidR="005B21BB" w:rsidRDefault="005B21BB" w:rsidP="00AB1A71">
      <w:pPr>
        <w:pStyle w:val="Heading2"/>
      </w:pPr>
      <w:r>
        <w:t>Organisational support</w:t>
      </w:r>
    </w:p>
    <w:p w14:paraId="2437DEA2" w14:textId="77777777" w:rsidR="005B21BB" w:rsidRDefault="005B21BB" w:rsidP="00EE34F9">
      <w:r>
        <w:t xml:space="preserve">Utilise your team and management support. Remember, enabling and </w:t>
      </w:r>
      <w:proofErr w:type="gramStart"/>
      <w:r>
        <w:t>well resourced</w:t>
      </w:r>
      <w:proofErr w:type="gramEnd"/>
      <w:r>
        <w:t xml:space="preserve"> workplaces prevent burnout and is an organisational responsibility. Burnout is a workplace hazard, and your workplace should treat it as such.</w:t>
      </w:r>
    </w:p>
    <w:p w14:paraId="0E64B9CE" w14:textId="77777777" w:rsidR="005B21BB" w:rsidRDefault="005B21BB" w:rsidP="00AB1A71">
      <w:pPr>
        <w:pStyle w:val="Heading2"/>
      </w:pPr>
      <w:r>
        <w:t>Connection and community</w:t>
      </w:r>
    </w:p>
    <w:p w14:paraId="4938DC37" w14:textId="77777777" w:rsidR="005B21BB" w:rsidRDefault="005B21BB" w:rsidP="00EE34F9">
      <w:r>
        <w:t xml:space="preserve">Connect with and cultivate supportive communities, either your team members, trusted </w:t>
      </w:r>
      <w:proofErr w:type="gramStart"/>
      <w:r>
        <w:t>friend</w:t>
      </w:r>
      <w:proofErr w:type="gramEnd"/>
      <w:r>
        <w:t xml:space="preserve"> or professional community of practice. Community serves so many purposes, but one is sharing and reflecting on shared challenges in prevention practice. Find your allies and nurture those relationships.</w:t>
      </w:r>
    </w:p>
    <w:p w14:paraId="550D6B9D" w14:textId="77777777" w:rsidR="004F7809" w:rsidRDefault="005B21BB" w:rsidP="00AB1A71">
      <w:pPr>
        <w:pStyle w:val="Heading2"/>
      </w:pPr>
      <w:r>
        <w:t>Celebrating the wins, big and small</w:t>
      </w:r>
    </w:p>
    <w:p w14:paraId="31FC822F" w14:textId="312FBBE5" w:rsidR="005B21BB" w:rsidRDefault="005B21BB" w:rsidP="00EE34F9">
      <w:r>
        <w:t>Contributing to social change in our personal and professional lives can be tiring. Social change takes time. It’s important that we celebrate the small and significant wins along the way - whether it’s a practitioner’s ‘light bulb’ moment in a workshop, or a meaningful partnership. It’s also important to celebrate the connections and people you work alongside.</w:t>
      </w:r>
    </w:p>
    <w:p w14:paraId="3F1B08BC" w14:textId="77777777" w:rsidR="005B21BB" w:rsidRDefault="005B21BB" w:rsidP="00AB1A71">
      <w:pPr>
        <w:pStyle w:val="Heading2"/>
      </w:pPr>
      <w:r>
        <w:t>Boundaries and expectations</w:t>
      </w:r>
    </w:p>
    <w:p w14:paraId="0B2AEEF7" w14:textId="77777777" w:rsidR="005B21BB" w:rsidRDefault="005B21BB" w:rsidP="00EE34F9">
      <w:r>
        <w:t xml:space="preserve">Know your </w:t>
      </w:r>
      <w:proofErr w:type="gramStart"/>
      <w:r>
        <w:t>limits, and</w:t>
      </w:r>
      <w:proofErr w:type="gramEnd"/>
      <w:r>
        <w:t xml:space="preserve"> stay focused on the ‘moveable middle’. You’re one piece of the puzzle. Large scale social change relies on collective action. Give yourself permission to step away or not engage in conversations.</w:t>
      </w:r>
    </w:p>
    <w:p w14:paraId="72BE0D0B" w14:textId="2DFF3280" w:rsidR="00AB1A71" w:rsidRDefault="004118FA" w:rsidP="004118FA">
      <w:pPr>
        <w:spacing w:before="1200"/>
      </w:pPr>
      <w:r>
        <w:rPr>
          <w:noProof/>
        </w:rPr>
        <w:drawing>
          <wp:inline distT="0" distB="0" distL="0" distR="0" wp14:anchorId="3241218E" wp14:editId="7ED11427">
            <wp:extent cx="817920" cy="468000"/>
            <wp:effectExtent l="0" t="0" r="1270" b="8255"/>
            <wp:docPr id="5" name="Picture 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pic:cNvPicPr/>
                  </pic:nvPicPr>
                  <pic:blipFill>
                    <a:blip r:embed="rId24"/>
                    <a:stretch>
                      <a:fillRect/>
                    </a:stretch>
                  </pic:blipFill>
                  <pic:spPr>
                    <a:xfrm>
                      <a:off x="0" y="0"/>
                      <a:ext cx="817920" cy="468000"/>
                    </a:xfrm>
                    <a:prstGeom prst="rect">
                      <a:avLst/>
                    </a:prstGeom>
                  </pic:spPr>
                </pic:pic>
              </a:graphicData>
            </a:graphic>
          </wp:inline>
        </w:drawing>
      </w:r>
    </w:p>
    <w:p w14:paraId="2AE1DFFE" w14:textId="520A5DD1" w:rsidR="00DD613D" w:rsidRPr="00640691" w:rsidRDefault="005B21BB" w:rsidP="00AB1A71">
      <w:r>
        <w:t>Safe and Equal acknowledges the</w:t>
      </w:r>
      <w:r w:rsidR="00626305">
        <w:t xml:space="preserve"> </w:t>
      </w:r>
      <w:r>
        <w:t>support of the Victorian Government.</w:t>
      </w:r>
    </w:p>
    <w:sectPr w:rsidR="00DD613D" w:rsidRPr="00640691" w:rsidSect="00A13F13">
      <w:headerReference w:type="default" r:id="rId25"/>
      <w:footerReference w:type="default" r:id="rId26"/>
      <w:pgSz w:w="11907" w:h="16840" w:code="9"/>
      <w:pgMar w:top="1418" w:right="1701" w:bottom="1701"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3837" w14:textId="77777777" w:rsidR="00ED5200" w:rsidRDefault="00ED5200" w:rsidP="00E02509">
      <w:pPr>
        <w:spacing w:after="0" w:line="240" w:lineRule="auto"/>
      </w:pPr>
      <w:r>
        <w:separator/>
      </w:r>
    </w:p>
  </w:endnote>
  <w:endnote w:type="continuationSeparator" w:id="0">
    <w:p w14:paraId="3FCBA740" w14:textId="77777777" w:rsidR="00ED5200" w:rsidRDefault="00ED5200" w:rsidP="00E02509">
      <w:pPr>
        <w:spacing w:after="0" w:line="240" w:lineRule="auto"/>
      </w:pPr>
      <w:r>
        <w:continuationSeparator/>
      </w:r>
    </w:p>
  </w:endnote>
  <w:endnote w:type="continuationNotice" w:id="1">
    <w:p w14:paraId="51D80865" w14:textId="77777777" w:rsidR="00ED5200" w:rsidRDefault="00ED5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Book">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M Sans">
    <w:altName w:val="DM Sans"/>
    <w:charset w:val="00"/>
    <w:family w:val="auto"/>
    <w:pitch w:val="variable"/>
    <w:sig w:usb0="8000002F" w:usb1="5000205B" w:usb2="00000000" w:usb3="00000000" w:csb0="00000093" w:csb1="00000000"/>
  </w:font>
  <w:font w:name="HeadlineGothicATF">
    <w:altName w:val="Calibri"/>
    <w:panose1 w:val="00000000000000000000"/>
    <w:charset w:val="4D"/>
    <w:family w:val="auto"/>
    <w:notTrueType/>
    <w:pitch w:val="default"/>
    <w:sig w:usb0="00000003" w:usb1="00000000" w:usb2="00000000" w:usb3="00000000" w:csb0="00000001" w:csb1="00000000"/>
  </w:font>
  <w:font w:name="DMSans-Regular">
    <w:altName w:val="Calibri"/>
    <w:panose1 w:val="00000000000000000000"/>
    <w:charset w:val="4D"/>
    <w:family w:val="auto"/>
    <w:notTrueType/>
    <w:pitch w:val="default"/>
    <w:sig w:usb0="00000003" w:usb1="00000000" w:usb2="00000000" w:usb3="00000000" w:csb0="00000001" w:csb1="00000000"/>
  </w:font>
  <w:font w:name="DMSans-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26D9" w14:textId="77189832" w:rsidR="005E381E" w:rsidRDefault="005E381E" w:rsidP="002B202B">
    <w:pPr>
      <w:pStyle w:val="Footer"/>
    </w:pPr>
    <w:r w:rsidRPr="007B41DD">
      <w:rPr>
        <w:noProof/>
      </w:rPr>
      <mc:AlternateContent>
        <mc:Choice Requires="wps">
          <w:drawing>
            <wp:anchor distT="0" distB="0" distL="114300" distR="114300" simplePos="0" relativeHeight="251704320" behindDoc="1" locked="0" layoutInCell="1" allowOverlap="1" wp14:anchorId="61E71D24" wp14:editId="0399D6C1">
              <wp:simplePos x="0" y="0"/>
              <wp:positionH relativeFrom="column">
                <wp:posOffset>-568779</wp:posOffset>
              </wp:positionH>
              <wp:positionV relativeFrom="page">
                <wp:posOffset>10036629</wp:posOffset>
              </wp:positionV>
              <wp:extent cx="569595" cy="1270"/>
              <wp:effectExtent l="19050" t="19050" r="20955" b="3683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83CE833" id="Straight Connector 8" o:spid="_x0000_s1026" alt="&quot;&quot;" style="position:absolute;z-index:-251612160;visibility:visible;mso-wrap-style:square;mso-wrap-distance-left:9pt;mso-wrap-distance-top:0;mso-wrap-distance-right:9pt;mso-wrap-distance-bottom:0;mso-position-horizontal:absolute;mso-position-horizontal-relative:text;mso-position-vertical:absolute;mso-position-vertical-relative:page" from="-44.8pt,790.3pt" to=".0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" strokecolor="#ff79ff" strokeweight="2.25pt">
              <w10:wrap anchory="page"/>
            </v:line>
          </w:pict>
        </mc:Fallback>
      </mc:AlternateContent>
    </w:r>
    <w:r w:rsidRPr="007B41DD">
      <w:rPr>
        <w:noProof/>
      </w:rPr>
      <mc:AlternateContent>
        <mc:Choice Requires="wps">
          <w:drawing>
            <wp:anchor distT="0" distB="0" distL="114300" distR="114300" simplePos="0" relativeHeight="251703296" behindDoc="1" locked="0" layoutInCell="1" allowOverlap="1" wp14:anchorId="4A251A20" wp14:editId="0F6286E4">
              <wp:simplePos x="0" y="0"/>
              <wp:positionH relativeFrom="page">
                <wp:posOffset>138793</wp:posOffset>
              </wp:positionH>
              <wp:positionV relativeFrom="page">
                <wp:posOffset>9682843</wp:posOffset>
              </wp:positionV>
              <wp:extent cx="7284600" cy="878400"/>
              <wp:effectExtent l="0" t="0" r="0" b="0"/>
              <wp:wrapNone/>
              <wp:docPr id="9" name="Rectangle 9"/>
              <wp:cNvGraphicFramePr/>
              <a:graphic xmlns:a="http://schemas.openxmlformats.org/drawingml/2006/main">
                <a:graphicData uri="http://schemas.microsoft.com/office/word/2010/wordprocessingShape">
                  <wps:wsp>
                    <wps:cNvSpPr/>
                    <wps:spPr>
                      <a:xfrm>
                        <a:off x="0" y="0"/>
                        <a:ext cx="7284600" cy="878400"/>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01F17" w14:textId="77777777" w:rsidR="005E381E" w:rsidRPr="00C33232" w:rsidRDefault="005E381E" w:rsidP="00971ED9">
                          <w:pPr>
                            <w:spacing w:before="120" w:after="0"/>
                            <w:ind w:left="170"/>
                            <w:rPr>
                              <w:b/>
                              <w:bCs/>
                              <w:sz w:val="16"/>
                              <w:szCs w:val="16"/>
                            </w:rPr>
                          </w:pPr>
                          <w:r w:rsidRPr="00C33232">
                            <w:rPr>
                              <w:b/>
                              <w:bCs/>
                              <w:sz w:val="16"/>
                              <w:szCs w:val="16"/>
                            </w:rPr>
                            <w:fldChar w:fldCharType="begin"/>
                          </w:r>
                          <w:r w:rsidRPr="00C33232">
                            <w:rPr>
                              <w:b/>
                              <w:bCs/>
                              <w:sz w:val="16"/>
                              <w:szCs w:val="16"/>
                            </w:rPr>
                            <w:instrText xml:space="preserve"> PAGE   \* MERGEFORMAT </w:instrText>
                          </w:r>
                          <w:r w:rsidRPr="00C33232">
                            <w:rPr>
                              <w:b/>
                              <w:bCs/>
                              <w:sz w:val="16"/>
                              <w:szCs w:val="16"/>
                            </w:rPr>
                            <w:fldChar w:fldCharType="separate"/>
                          </w:r>
                          <w:r w:rsidRPr="00C33232">
                            <w:rPr>
                              <w:b/>
                              <w:bCs/>
                              <w:noProof/>
                              <w:sz w:val="16"/>
                              <w:szCs w:val="16"/>
                            </w:rPr>
                            <w:t>5</w:t>
                          </w:r>
                          <w:r w:rsidRPr="00C33232">
                            <w:rPr>
                              <w:b/>
                              <w:bCs/>
                              <w:noProof/>
                              <w:sz w:val="16"/>
                              <w:szCs w:val="16"/>
                            </w:rPr>
                            <w:fldChar w:fldCharType="end"/>
                          </w:r>
                        </w:p>
                        <w:p w14:paraId="343FD77A" w14:textId="2F8F1FD2" w:rsidR="005E381E" w:rsidRPr="002B202B" w:rsidRDefault="005E381E" w:rsidP="002B202B">
                          <w:pPr>
                            <w:spacing w:before="260" w:after="0"/>
                            <w:ind w:left="170"/>
                            <w:rPr>
                              <w:i/>
                              <w:sz w:val="16"/>
                              <w:szCs w:val="16"/>
                              <w:lang w:val="en-US"/>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1A20" id="Rectangle 9" o:spid="_x0000_s1026" style="position:absolute;left:0;text-align:left;margin-left:10.95pt;margin-top:762.45pt;width:573.6pt;height:69.1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" fillcolor="#e6e4dc" stroked="f" strokeweight="2pt">
              <v:textbox>
                <w:txbxContent>
                  <w:p w14:paraId="14401F17" w14:textId="77777777" w:rsidR="005E381E" w:rsidRPr="00C33232" w:rsidRDefault="005E381E" w:rsidP="00971ED9">
                    <w:pPr>
                      <w:spacing w:before="120" w:after="0"/>
                      <w:ind w:left="170"/>
                      <w:rPr>
                        <w:b/>
                        <w:bCs/>
                        <w:sz w:val="16"/>
                        <w:szCs w:val="16"/>
                      </w:rPr>
                    </w:pPr>
                    <w:r w:rsidRPr="00C33232">
                      <w:rPr>
                        <w:b/>
                        <w:bCs/>
                        <w:sz w:val="16"/>
                        <w:szCs w:val="16"/>
                      </w:rPr>
                      <w:fldChar w:fldCharType="begin"/>
                    </w:r>
                    <w:r w:rsidRPr="00C33232">
                      <w:rPr>
                        <w:b/>
                        <w:bCs/>
                        <w:sz w:val="16"/>
                        <w:szCs w:val="16"/>
                      </w:rPr>
                      <w:instrText xml:space="preserve"> PAGE   \* MERGEFORMAT </w:instrText>
                    </w:r>
                    <w:r w:rsidRPr="00C33232">
                      <w:rPr>
                        <w:b/>
                        <w:bCs/>
                        <w:sz w:val="16"/>
                        <w:szCs w:val="16"/>
                      </w:rPr>
                      <w:fldChar w:fldCharType="separate"/>
                    </w:r>
                    <w:r w:rsidRPr="00C33232">
                      <w:rPr>
                        <w:b/>
                        <w:bCs/>
                        <w:noProof/>
                        <w:sz w:val="16"/>
                        <w:szCs w:val="16"/>
                      </w:rPr>
                      <w:t>5</w:t>
                    </w:r>
                    <w:r w:rsidRPr="00C33232">
                      <w:rPr>
                        <w:b/>
                        <w:bCs/>
                        <w:noProof/>
                        <w:sz w:val="16"/>
                        <w:szCs w:val="16"/>
                      </w:rPr>
                      <w:fldChar w:fldCharType="end"/>
                    </w:r>
                  </w:p>
                  <w:p w14:paraId="343FD77A" w14:textId="2F8F1FD2" w:rsidR="005E381E" w:rsidRPr="002B202B" w:rsidRDefault="005E381E" w:rsidP="002B202B">
                    <w:pPr>
                      <w:spacing w:before="260" w:after="0"/>
                      <w:ind w:left="170"/>
                      <w:rPr>
                        <w:i/>
                        <w:sz w:val="16"/>
                        <w:szCs w:val="16"/>
                        <w:lang w:val="en-US"/>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08A4" w14:textId="77777777" w:rsidR="00ED5200" w:rsidRPr="00EF1D3D" w:rsidRDefault="00ED5200" w:rsidP="00E02509">
      <w:pPr>
        <w:spacing w:after="0" w:line="240" w:lineRule="auto"/>
        <w:rPr>
          <w:b/>
          <w:bCs/>
          <w:color w:val="7800FF"/>
        </w:rPr>
      </w:pPr>
      <w:r w:rsidRPr="00EF1D3D">
        <w:rPr>
          <w:b/>
          <w:bCs/>
          <w:color w:val="7800FF"/>
        </w:rPr>
        <w:separator/>
      </w:r>
    </w:p>
  </w:footnote>
  <w:footnote w:type="continuationSeparator" w:id="0">
    <w:p w14:paraId="40E28ABF" w14:textId="77777777" w:rsidR="00ED5200" w:rsidRDefault="00ED5200" w:rsidP="00E02509">
      <w:pPr>
        <w:spacing w:after="0" w:line="240" w:lineRule="auto"/>
      </w:pPr>
      <w:r>
        <w:continuationSeparator/>
      </w:r>
    </w:p>
  </w:footnote>
  <w:footnote w:type="continuationNotice" w:id="1">
    <w:p w14:paraId="49FF24AE" w14:textId="77777777" w:rsidR="00ED5200" w:rsidRDefault="00ED5200">
      <w:pPr>
        <w:spacing w:after="0" w:line="240" w:lineRule="auto"/>
      </w:pPr>
    </w:p>
  </w:footnote>
  <w:footnote w:id="2">
    <w:p w14:paraId="6AFA0F54" w14:textId="285A212B" w:rsidR="005B21BB" w:rsidRDefault="005B21BB" w:rsidP="006D2F41">
      <w:pPr>
        <w:pStyle w:val="Footnotes"/>
      </w:pPr>
      <w:r w:rsidRPr="00724423">
        <w:footnoteRef/>
      </w:r>
      <w:r w:rsidRPr="00724423">
        <w:tab/>
      </w:r>
      <w:r>
        <w:t xml:space="preserve">Our Watch (2021). </w:t>
      </w:r>
      <w:r w:rsidRPr="00305978">
        <w:t>Change the story: A shared framework for the primary prevention of violence against women in Australia</w:t>
      </w:r>
      <w:r>
        <w:t xml:space="preserve"> (2nd ed).</w:t>
      </w:r>
      <w:r w:rsidR="004F7809">
        <w:t xml:space="preserve"> </w:t>
      </w:r>
      <w:r>
        <w:t>Melbourne: Our Watch.</w:t>
      </w:r>
    </w:p>
  </w:footnote>
  <w:footnote w:id="3">
    <w:p w14:paraId="0A93FB4B" w14:textId="00C35A5F" w:rsidR="005B21BB" w:rsidRDefault="005B21BB" w:rsidP="00724423">
      <w:pPr>
        <w:pStyle w:val="Footnotes"/>
      </w:pPr>
      <w:r w:rsidRPr="00783C49">
        <w:footnoteRef/>
      </w:r>
      <w:r w:rsidRPr="00783C49">
        <w:tab/>
      </w:r>
      <w:r>
        <w:t xml:space="preserve">VicHealth. (2018). </w:t>
      </w:r>
      <w:r w:rsidRPr="00783C49">
        <w:rPr>
          <w:i/>
          <w:iCs/>
        </w:rPr>
        <w:t>(</w:t>
      </w:r>
      <w:proofErr w:type="spellStart"/>
      <w:r w:rsidRPr="00783C49">
        <w:rPr>
          <w:i/>
          <w:iCs/>
        </w:rPr>
        <w:t>En</w:t>
      </w:r>
      <w:proofErr w:type="spellEnd"/>
      <w:r w:rsidRPr="00783C49">
        <w:rPr>
          <w:i/>
          <w:iCs/>
        </w:rPr>
        <w:t>)countering resistance: Strategies to respond to resistance to gender equality initiatives</w:t>
      </w:r>
      <w:r>
        <w:t>, pg. 7.</w:t>
      </w:r>
      <w:r w:rsidR="004F7809">
        <w:t xml:space="preserve"> </w:t>
      </w:r>
      <w:r>
        <w:t>Melbourne: Victorian Health Promotion Foundation.</w:t>
      </w:r>
    </w:p>
  </w:footnote>
  <w:footnote w:id="4">
    <w:p w14:paraId="45D496C5" w14:textId="77777777" w:rsidR="0043774A" w:rsidRDefault="0043774A" w:rsidP="0043774A">
      <w:pPr>
        <w:pStyle w:val="Footnotes"/>
      </w:pPr>
      <w:r w:rsidRPr="00783C49">
        <w:footnoteRef/>
      </w:r>
      <w:r w:rsidRPr="00783C49">
        <w:tab/>
      </w:r>
      <w:r>
        <w:t xml:space="preserve">Our Watch (2021). </w:t>
      </w:r>
      <w:r w:rsidRPr="00783C49">
        <w:rPr>
          <w:i/>
          <w:iCs/>
        </w:rPr>
        <w:t>Change the story: A shared framework for the primary prevention of violence against women in Australia</w:t>
      </w:r>
      <w:r>
        <w:t xml:space="preserve"> (2nd ed.), Melbourne: Our Watch.</w:t>
      </w:r>
    </w:p>
  </w:footnote>
  <w:footnote w:id="5">
    <w:p w14:paraId="07A8D7CA" w14:textId="77777777" w:rsidR="0043774A" w:rsidRDefault="0043774A" w:rsidP="0043774A">
      <w:pPr>
        <w:pStyle w:val="Footnotes"/>
      </w:pPr>
      <w:r w:rsidRPr="00783C49">
        <w:footnoteRef/>
      </w:r>
      <w:r w:rsidRPr="00783C49">
        <w:tab/>
      </w:r>
      <w:r>
        <w:t xml:space="preserve">The Men’s Project &amp; Flood. (2018). </w:t>
      </w:r>
      <w:r w:rsidRPr="00783C49">
        <w:rPr>
          <w:i/>
          <w:iCs/>
        </w:rPr>
        <w:t>The Man Box: A Study on Being a Young Man in Australia</w:t>
      </w:r>
      <w:r>
        <w:t>. Melbourne: Jesuit Social Services.</w:t>
      </w:r>
    </w:p>
  </w:footnote>
  <w:footnote w:id="6">
    <w:p w14:paraId="55EFC9F5" w14:textId="4AA8A3A1" w:rsidR="005B21BB" w:rsidRDefault="005B21BB" w:rsidP="00724423">
      <w:pPr>
        <w:pStyle w:val="Footnotes"/>
      </w:pPr>
      <w:r w:rsidRPr="00783C49">
        <w:footnoteRef/>
      </w:r>
      <w:r w:rsidRPr="00783C49">
        <w:tab/>
      </w:r>
      <w:r>
        <w:t xml:space="preserve">VicHealth. (2018). </w:t>
      </w:r>
      <w:r w:rsidRPr="00783C49">
        <w:rPr>
          <w:i/>
          <w:iCs/>
        </w:rPr>
        <w:t>(</w:t>
      </w:r>
      <w:proofErr w:type="spellStart"/>
      <w:r w:rsidRPr="00783C49">
        <w:rPr>
          <w:i/>
          <w:iCs/>
        </w:rPr>
        <w:t>En</w:t>
      </w:r>
      <w:proofErr w:type="spellEnd"/>
      <w:r w:rsidRPr="00783C49">
        <w:rPr>
          <w:i/>
          <w:iCs/>
        </w:rPr>
        <w:t>)countering resistance: Strategies to respond to resistance to gender equality initiatives</w:t>
      </w:r>
      <w:r>
        <w:t>, pg.3.</w:t>
      </w:r>
      <w:r w:rsidR="004F7809">
        <w:t xml:space="preserve"> </w:t>
      </w:r>
      <w:r>
        <w:t>Melbourne: Victorian Health Promotion Foundation.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E166" w14:textId="77777777" w:rsidR="005E381E" w:rsidRDefault="005E381E" w:rsidP="00C702B8">
    <w:pPr>
      <w:pStyle w:val="Header"/>
    </w:pPr>
    <w:r>
      <w:rPr>
        <w:noProof/>
        <w:lang w:eastAsia="en-AU"/>
      </w:rPr>
      <w:drawing>
        <wp:inline distT="0" distB="0" distL="0" distR="0" wp14:anchorId="6051DDB8" wp14:editId="42AB4F2B">
          <wp:extent cx="1370893" cy="281160"/>
          <wp:effectExtent l="0" t="0" r="1270" b="5080"/>
          <wp:docPr id="6" name="Picture 6" descr="Safe and Eq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afe and Equal"/>
                  <pic:cNvPicPr>
                    <a:picLocks noChangeAspect="1" noChangeArrowheads="1"/>
                  </pic:cNvPicPr>
                </pic:nvPicPr>
                <pic:blipFill rotWithShape="1">
                  <a:blip r:embed="rId1"/>
                  <a:srcRect l="12702" t="26011" r="12083" b="27497"/>
                  <a:stretch/>
                </pic:blipFill>
                <pic:spPr bwMode="auto">
                  <a:xfrm>
                    <a:off x="0" y="0"/>
                    <a:ext cx="1370893" cy="28116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7873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01CC9"/>
    <w:multiLevelType w:val="multilevel"/>
    <w:tmpl w:val="0358AF78"/>
    <w:styleLink w:val="Style2"/>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2" w15:restartNumberingAfterBreak="0">
    <w:nsid w:val="07B02943"/>
    <w:multiLevelType w:val="multilevel"/>
    <w:tmpl w:val="40601A92"/>
    <w:styleLink w:val="Style4"/>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D4F00"/>
      </w:rPr>
    </w:lvl>
    <w:lvl w:ilvl="2">
      <w:start w:val="1"/>
      <w:numFmt w:val="lowerRoman"/>
      <w:lvlText w:val="%3"/>
      <w:lvlJc w:val="left"/>
      <w:pPr>
        <w:ind w:left="1797" w:hanging="357"/>
      </w:pPr>
      <w:rPr>
        <w:rFonts w:hint="default"/>
        <w:color w:val="FD4F00"/>
      </w:rPr>
    </w:lvl>
    <w:lvl w:ilvl="3">
      <w:start w:val="1"/>
      <w:numFmt w:val="bullet"/>
      <w:lvlText w:val=""/>
      <w:lvlJc w:val="left"/>
      <w:pPr>
        <w:ind w:left="2517" w:hanging="357"/>
      </w:pPr>
      <w:rPr>
        <w:rFonts w:ascii="Symbol" w:hAnsi="Symbol" w:hint="default"/>
        <w:color w:val="FD4F00"/>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3" w15:restartNumberingAfterBreak="0">
    <w:nsid w:val="0A883741"/>
    <w:multiLevelType w:val="multilevel"/>
    <w:tmpl w:val="DB0264D4"/>
    <w:lvl w:ilvl="0">
      <w:start w:val="1"/>
      <w:numFmt w:val="decimal"/>
      <w:lvlText w:val="%1."/>
      <w:lvlJc w:val="left"/>
      <w:pPr>
        <w:ind w:left="357" w:hanging="357"/>
      </w:pPr>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4" w15:restartNumberingAfterBreak="0">
    <w:nsid w:val="0EEF1056"/>
    <w:multiLevelType w:val="multilevel"/>
    <w:tmpl w:val="2FB0E56E"/>
    <w:styleLink w:val="Style1"/>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5" w15:restartNumberingAfterBreak="0">
    <w:nsid w:val="13B54991"/>
    <w:multiLevelType w:val="multilevel"/>
    <w:tmpl w:val="1A9C469A"/>
    <w:lvl w:ilvl="0">
      <w:start w:val="1"/>
      <w:numFmt w:val="decimal"/>
      <w:lvlText w:val="%1."/>
      <w:lvlJc w:val="left"/>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6" w15:restartNumberingAfterBreak="0">
    <w:nsid w:val="13FD7B7F"/>
    <w:multiLevelType w:val="hybridMultilevel"/>
    <w:tmpl w:val="29ECB824"/>
    <w:lvl w:ilvl="0" w:tplc="26725E02">
      <w:start w:val="1"/>
      <w:numFmt w:val="bullet"/>
      <w:lvlText w:val=""/>
      <w:lvlJc w:val="left"/>
      <w:pPr>
        <w:ind w:left="360" w:hanging="360"/>
      </w:pPr>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164E662B"/>
    <w:multiLevelType w:val="multilevel"/>
    <w:tmpl w:val="74402280"/>
    <w:styleLink w:val="Style3"/>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hint="default"/>
        <w:color w:val="33B9FF"/>
      </w:rPr>
    </w:lvl>
    <w:lvl w:ilvl="2">
      <w:start w:val="1"/>
      <w:numFmt w:val="lowerRoman"/>
      <w:lvlText w:val="%3."/>
      <w:lvlJc w:val="left"/>
      <w:pPr>
        <w:ind w:left="1797" w:hanging="357"/>
      </w:pPr>
      <w:rPr>
        <w:rFonts w:hint="default"/>
        <w:color w:val="33B9FF"/>
      </w:rPr>
    </w:lvl>
    <w:lvl w:ilvl="3">
      <w:start w:val="1"/>
      <w:numFmt w:val="bullet"/>
      <w:lvlText w:val=""/>
      <w:lvlJc w:val="left"/>
      <w:pPr>
        <w:ind w:left="2517" w:hanging="357"/>
      </w:pPr>
      <w:rPr>
        <w:rFonts w:ascii="Symbol" w:hAnsi="Symbol" w:hint="default"/>
        <w:color w:val="33B9FF"/>
      </w:rPr>
    </w:lvl>
    <w:lvl w:ilvl="4">
      <w:start w:val="1"/>
      <w:numFmt w:val="lowerLetter"/>
      <w:lvlText w:val="(%5)"/>
      <w:lvlJc w:val="left"/>
      <w:pPr>
        <w:ind w:left="3237" w:hanging="357"/>
      </w:pPr>
      <w:rPr>
        <w:rFonts w:hint="default"/>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8" w15:restartNumberingAfterBreak="0">
    <w:nsid w:val="183F5D2D"/>
    <w:multiLevelType w:val="multilevel"/>
    <w:tmpl w:val="3F787388"/>
    <w:styleLink w:val="ZZListBullet13ptList"/>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15:restartNumberingAfterBreak="0">
    <w:nsid w:val="1A7778B8"/>
    <w:multiLevelType w:val="hybridMultilevel"/>
    <w:tmpl w:val="DB980EC6"/>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1BDF61F2"/>
    <w:multiLevelType w:val="multilevel"/>
    <w:tmpl w:val="CA8252C6"/>
    <w:styleLink w:val="Style5"/>
    <w:lvl w:ilvl="0">
      <w:start w:val="1"/>
      <w:numFmt w:val="decimal"/>
      <w:lvlText w:val="%1."/>
      <w:lvlJc w:val="left"/>
      <w:pPr>
        <w:ind w:left="357" w:hanging="357"/>
      </w:pPr>
      <w:rPr>
        <w:rFonts w:hint="default"/>
        <w:color w:val="00D488"/>
      </w:rPr>
    </w:lvl>
    <w:lvl w:ilvl="1">
      <w:start w:val="1"/>
      <w:numFmt w:val="lowerLetter"/>
      <w:lvlText w:val="%2."/>
      <w:lvlJc w:val="left"/>
      <w:pPr>
        <w:ind w:left="1077" w:hanging="357"/>
      </w:pPr>
      <w:rPr>
        <w:rFonts w:hint="default"/>
        <w:color w:val="00D488"/>
      </w:rPr>
    </w:lvl>
    <w:lvl w:ilvl="2">
      <w:start w:val="1"/>
      <w:numFmt w:val="lowerRoman"/>
      <w:lvlText w:val="%3."/>
      <w:lvlJc w:val="left"/>
      <w:pPr>
        <w:ind w:left="1797" w:hanging="357"/>
      </w:pPr>
      <w:rPr>
        <w:rFonts w:hint="default"/>
        <w:color w:val="00D488"/>
      </w:rPr>
    </w:lvl>
    <w:lvl w:ilvl="3">
      <w:start w:val="1"/>
      <w:numFmt w:val="bullet"/>
      <w:lvlText w:val=""/>
      <w:lvlJc w:val="left"/>
      <w:pPr>
        <w:ind w:left="2517" w:hanging="357"/>
      </w:pPr>
      <w:rPr>
        <w:rFonts w:ascii="Symbol" w:hAnsi="Symbol" w:hint="default"/>
        <w:color w:val="00D488"/>
      </w:rPr>
    </w:lvl>
    <w:lvl w:ilvl="4">
      <w:start w:val="1"/>
      <w:numFmt w:val="lowerLetter"/>
      <w:lvlText w:val="(%5)"/>
      <w:lvlJc w:val="left"/>
      <w:pPr>
        <w:ind w:left="3237" w:hanging="357"/>
      </w:pPr>
      <w:rPr>
        <w:rFonts w:hint="default"/>
        <w:color w:val="00D488"/>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1" w15:restartNumberingAfterBreak="0">
    <w:nsid w:val="27A941D9"/>
    <w:multiLevelType w:val="multilevel"/>
    <w:tmpl w:val="B9740D58"/>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2" w15:restartNumberingAfterBreak="0">
    <w:nsid w:val="29E91780"/>
    <w:multiLevelType w:val="hybridMultilevel"/>
    <w:tmpl w:val="7C8EF62A"/>
    <w:lvl w:ilvl="0" w:tplc="B2F27AA6">
      <w:start w:val="1"/>
      <w:numFmt w:val="bullet"/>
      <w:lvlText w:val=""/>
      <w:lvlJc w:val="left"/>
      <w:pPr>
        <w:ind w:left="360" w:hanging="360"/>
      </w:pPr>
      <w:rPr>
        <w:rFonts w:ascii="Symbol" w:hAnsi="Symbol" w:hint="default"/>
        <w:color w:val="FD4F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29EE4063"/>
    <w:multiLevelType w:val="hybridMultilevel"/>
    <w:tmpl w:val="9C3AD4C0"/>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4" w15:restartNumberingAfterBreak="0">
    <w:nsid w:val="39524602"/>
    <w:multiLevelType w:val="multilevel"/>
    <w:tmpl w:val="40601A92"/>
    <w:numStyleLink w:val="Style4"/>
  </w:abstractNum>
  <w:abstractNum w:abstractNumId="15" w15:restartNumberingAfterBreak="0">
    <w:nsid w:val="46E44ADB"/>
    <w:multiLevelType w:val="multilevel"/>
    <w:tmpl w:val="2FB0E56E"/>
    <w:numStyleLink w:val="Style1"/>
  </w:abstractNum>
  <w:abstractNum w:abstractNumId="16" w15:restartNumberingAfterBreak="0">
    <w:nsid w:val="47AA0FC5"/>
    <w:multiLevelType w:val="multilevel"/>
    <w:tmpl w:val="2FB0E56E"/>
    <w:numStyleLink w:val="Style1"/>
  </w:abstractNum>
  <w:abstractNum w:abstractNumId="17" w15:restartNumberingAfterBreak="0">
    <w:nsid w:val="4ECB7DC6"/>
    <w:multiLevelType w:val="multilevel"/>
    <w:tmpl w:val="36C80CEC"/>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8" w15:restartNumberingAfterBreak="0">
    <w:nsid w:val="59D16D77"/>
    <w:multiLevelType w:val="multilevel"/>
    <w:tmpl w:val="0358AF78"/>
    <w:numStyleLink w:val="Style2"/>
  </w:abstractNum>
  <w:abstractNum w:abstractNumId="19" w15:restartNumberingAfterBreak="0">
    <w:nsid w:val="5B0645E4"/>
    <w:multiLevelType w:val="hybridMultilevel"/>
    <w:tmpl w:val="9232297E"/>
    <w:lvl w:ilvl="0" w:tplc="26EEDEF8">
      <w:start w:val="1"/>
      <w:numFmt w:val="bullet"/>
      <w:pStyle w:val="Bulletpoint"/>
      <w:lvlText w:val=""/>
      <w:lvlJc w:val="left"/>
      <w:pPr>
        <w:ind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66FA642C"/>
    <w:multiLevelType w:val="hybridMultilevel"/>
    <w:tmpl w:val="764CD6D6"/>
    <w:lvl w:ilvl="0" w:tplc="9D78B232">
      <w:start w:val="1"/>
      <w:numFmt w:val="bullet"/>
      <w:lvlText w:val=""/>
      <w:lvlJc w:val="left"/>
      <w:rPr>
        <w:rFonts w:ascii="Symbol" w:hAnsi="Symbol" w:hint="default"/>
        <w:color w:val="FD4F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66FC19EC"/>
    <w:multiLevelType w:val="hybridMultilevel"/>
    <w:tmpl w:val="317A99C6"/>
    <w:lvl w:ilvl="0" w:tplc="3FF2B28E">
      <w:start w:val="1"/>
      <w:numFmt w:val="bullet"/>
      <w:lvlText w:val=""/>
      <w:lvlJc w:val="left"/>
      <w:pPr>
        <w:ind w:left="360"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6CF41B37"/>
    <w:multiLevelType w:val="hybridMultilevel"/>
    <w:tmpl w:val="917E38F2"/>
    <w:lvl w:ilvl="0" w:tplc="0C09000F">
      <w:start w:val="1"/>
      <w:numFmt w:val="decimal"/>
      <w:lvlText w:val="%1."/>
      <w:lvlJc w:val="left"/>
      <w:pPr>
        <w:ind w:left="360" w:hanging="360"/>
      </w:pPr>
      <w:rPr>
        <w:rFonts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71580158"/>
    <w:multiLevelType w:val="multilevel"/>
    <w:tmpl w:val="0358AF78"/>
    <w:numStyleLink w:val="Style2"/>
  </w:abstractNum>
  <w:abstractNum w:abstractNumId="24" w15:restartNumberingAfterBreak="0">
    <w:nsid w:val="724C2E8B"/>
    <w:multiLevelType w:val="multilevel"/>
    <w:tmpl w:val="DD849B04"/>
    <w:styleLink w:val="ListBullet13ptliststyle"/>
    <w:lvl w:ilvl="0">
      <w:start w:val="1"/>
      <w:numFmt w:val="bullet"/>
      <w:pStyle w:val="ListBullet13pt"/>
      <w:lvlText w:val="•"/>
      <w:lvlJc w:val="left"/>
      <w:pPr>
        <w:ind w:left="397" w:hanging="397"/>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86255713">
    <w:abstractNumId w:val="0"/>
  </w:num>
  <w:num w:numId="2" w16cid:durableId="2104253869">
    <w:abstractNumId w:val="15"/>
  </w:num>
  <w:num w:numId="3" w16cid:durableId="1326280707">
    <w:abstractNumId w:val="4"/>
  </w:num>
  <w:num w:numId="4" w16cid:durableId="908807050">
    <w:abstractNumId w:val="1"/>
  </w:num>
  <w:num w:numId="5" w16cid:durableId="1408453390">
    <w:abstractNumId w:val="17"/>
  </w:num>
  <w:num w:numId="6" w16cid:durableId="1005980074">
    <w:abstractNumId w:val="7"/>
  </w:num>
  <w:num w:numId="7" w16cid:durableId="1489663045">
    <w:abstractNumId w:val="14"/>
  </w:num>
  <w:num w:numId="8" w16cid:durableId="1065645355">
    <w:abstractNumId w:val="2"/>
  </w:num>
  <w:num w:numId="9" w16cid:durableId="60297699">
    <w:abstractNumId w:val="11"/>
  </w:num>
  <w:num w:numId="10" w16cid:durableId="920914701">
    <w:abstractNumId w:val="16"/>
  </w:num>
  <w:num w:numId="11" w16cid:durableId="1433863742">
    <w:abstractNumId w:val="6"/>
  </w:num>
  <w:num w:numId="12" w16cid:durableId="55713711">
    <w:abstractNumId w:val="3"/>
  </w:num>
  <w:num w:numId="13" w16cid:durableId="996688365">
    <w:abstractNumId w:val="18"/>
  </w:num>
  <w:num w:numId="14" w16cid:durableId="185096048">
    <w:abstractNumId w:val="21"/>
  </w:num>
  <w:num w:numId="15" w16cid:durableId="1812864979">
    <w:abstractNumId w:val="22"/>
  </w:num>
  <w:num w:numId="16" w16cid:durableId="215514485">
    <w:abstractNumId w:val="12"/>
  </w:num>
  <w:num w:numId="17" w16cid:durableId="737021591">
    <w:abstractNumId w:val="19"/>
  </w:num>
  <w:num w:numId="18" w16cid:durableId="346372831">
    <w:abstractNumId w:val="20"/>
  </w:num>
  <w:num w:numId="19" w16cid:durableId="753090421">
    <w:abstractNumId w:val="9"/>
  </w:num>
  <w:num w:numId="20" w16cid:durableId="131363372">
    <w:abstractNumId w:val="10"/>
  </w:num>
  <w:num w:numId="21" w16cid:durableId="782304682">
    <w:abstractNumId w:val="13"/>
  </w:num>
  <w:num w:numId="22" w16cid:durableId="1842770181">
    <w:abstractNumId w:val="5"/>
  </w:num>
  <w:num w:numId="23" w16cid:durableId="596865559">
    <w:abstractNumId w:val="23"/>
  </w:num>
  <w:num w:numId="24" w16cid:durableId="1670209386">
    <w:abstractNumId w:val="8"/>
  </w:num>
  <w:num w:numId="25" w16cid:durableId="763577521">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6"/>
    <w:rsid w:val="00000665"/>
    <w:rsid w:val="00001DB1"/>
    <w:rsid w:val="00003AAE"/>
    <w:rsid w:val="00004E94"/>
    <w:rsid w:val="00010F0F"/>
    <w:rsid w:val="0001294B"/>
    <w:rsid w:val="00012B7E"/>
    <w:rsid w:val="00014419"/>
    <w:rsid w:val="00014E78"/>
    <w:rsid w:val="00022380"/>
    <w:rsid w:val="000223AD"/>
    <w:rsid w:val="000325C0"/>
    <w:rsid w:val="00035CC2"/>
    <w:rsid w:val="00037F5B"/>
    <w:rsid w:val="000406AD"/>
    <w:rsid w:val="0004309B"/>
    <w:rsid w:val="00053396"/>
    <w:rsid w:val="00053E2B"/>
    <w:rsid w:val="000557AB"/>
    <w:rsid w:val="000609DC"/>
    <w:rsid w:val="0006251D"/>
    <w:rsid w:val="000626FA"/>
    <w:rsid w:val="00062B00"/>
    <w:rsid w:val="0006459A"/>
    <w:rsid w:val="00066B32"/>
    <w:rsid w:val="00070892"/>
    <w:rsid w:val="000711E7"/>
    <w:rsid w:val="0007576B"/>
    <w:rsid w:val="000806FC"/>
    <w:rsid w:val="0008486A"/>
    <w:rsid w:val="00084AA1"/>
    <w:rsid w:val="00085DA1"/>
    <w:rsid w:val="0008761A"/>
    <w:rsid w:val="00092712"/>
    <w:rsid w:val="00096E51"/>
    <w:rsid w:val="000A29F7"/>
    <w:rsid w:val="000A5A21"/>
    <w:rsid w:val="000A5CF4"/>
    <w:rsid w:val="000B11C5"/>
    <w:rsid w:val="000B3AFA"/>
    <w:rsid w:val="000B4414"/>
    <w:rsid w:val="000C0C66"/>
    <w:rsid w:val="000C1B7F"/>
    <w:rsid w:val="000C3DCA"/>
    <w:rsid w:val="000D1784"/>
    <w:rsid w:val="000D54C9"/>
    <w:rsid w:val="000E01ED"/>
    <w:rsid w:val="000E0B99"/>
    <w:rsid w:val="000E1783"/>
    <w:rsid w:val="000E7D4B"/>
    <w:rsid w:val="001013BA"/>
    <w:rsid w:val="001022B2"/>
    <w:rsid w:val="001055EB"/>
    <w:rsid w:val="00110C2D"/>
    <w:rsid w:val="00112F8C"/>
    <w:rsid w:val="00115550"/>
    <w:rsid w:val="00116AAB"/>
    <w:rsid w:val="00120BE4"/>
    <w:rsid w:val="00121B34"/>
    <w:rsid w:val="00121F24"/>
    <w:rsid w:val="001235EB"/>
    <w:rsid w:val="00124890"/>
    <w:rsid w:val="00126BCE"/>
    <w:rsid w:val="00135EB2"/>
    <w:rsid w:val="001504AD"/>
    <w:rsid w:val="00150C2E"/>
    <w:rsid w:val="00156AE9"/>
    <w:rsid w:val="00156DAE"/>
    <w:rsid w:val="00157978"/>
    <w:rsid w:val="00162062"/>
    <w:rsid w:val="00162368"/>
    <w:rsid w:val="00162CC5"/>
    <w:rsid w:val="001631AB"/>
    <w:rsid w:val="0016445A"/>
    <w:rsid w:val="00164AC5"/>
    <w:rsid w:val="00165079"/>
    <w:rsid w:val="00165529"/>
    <w:rsid w:val="00172F02"/>
    <w:rsid w:val="00173D10"/>
    <w:rsid w:val="001760F8"/>
    <w:rsid w:val="00177415"/>
    <w:rsid w:val="00177F7F"/>
    <w:rsid w:val="00180B1A"/>
    <w:rsid w:val="00185818"/>
    <w:rsid w:val="00185ECF"/>
    <w:rsid w:val="001A3FC6"/>
    <w:rsid w:val="001B0587"/>
    <w:rsid w:val="001B1F6A"/>
    <w:rsid w:val="001B3B78"/>
    <w:rsid w:val="001D0C67"/>
    <w:rsid w:val="001D2213"/>
    <w:rsid w:val="001D7D65"/>
    <w:rsid w:val="001E0A91"/>
    <w:rsid w:val="001E1F5C"/>
    <w:rsid w:val="001E335D"/>
    <w:rsid w:val="001E6497"/>
    <w:rsid w:val="001F1700"/>
    <w:rsid w:val="001F1C57"/>
    <w:rsid w:val="00204E52"/>
    <w:rsid w:val="0020689C"/>
    <w:rsid w:val="0023158E"/>
    <w:rsid w:val="0023365B"/>
    <w:rsid w:val="00235C0C"/>
    <w:rsid w:val="0023716D"/>
    <w:rsid w:val="0023739C"/>
    <w:rsid w:val="00244801"/>
    <w:rsid w:val="0025007D"/>
    <w:rsid w:val="0025145D"/>
    <w:rsid w:val="002559E9"/>
    <w:rsid w:val="0025607C"/>
    <w:rsid w:val="00256D1F"/>
    <w:rsid w:val="002614B6"/>
    <w:rsid w:val="002630AF"/>
    <w:rsid w:val="00263AA1"/>
    <w:rsid w:val="002655C7"/>
    <w:rsid w:val="00265E7D"/>
    <w:rsid w:val="00266544"/>
    <w:rsid w:val="002717F4"/>
    <w:rsid w:val="0027625A"/>
    <w:rsid w:val="00280E32"/>
    <w:rsid w:val="00281564"/>
    <w:rsid w:val="002860F9"/>
    <w:rsid w:val="002878C6"/>
    <w:rsid w:val="0029097A"/>
    <w:rsid w:val="00290C6B"/>
    <w:rsid w:val="0029388A"/>
    <w:rsid w:val="002941B5"/>
    <w:rsid w:val="002945EA"/>
    <w:rsid w:val="002957A7"/>
    <w:rsid w:val="002A4C77"/>
    <w:rsid w:val="002A7634"/>
    <w:rsid w:val="002A7CF9"/>
    <w:rsid w:val="002B202B"/>
    <w:rsid w:val="002B23F2"/>
    <w:rsid w:val="002B38E8"/>
    <w:rsid w:val="002B3EB3"/>
    <w:rsid w:val="002B7E18"/>
    <w:rsid w:val="002C2CF1"/>
    <w:rsid w:val="002C7011"/>
    <w:rsid w:val="002D187E"/>
    <w:rsid w:val="002D3050"/>
    <w:rsid w:val="002D31E1"/>
    <w:rsid w:val="002D3CF0"/>
    <w:rsid w:val="002D48FA"/>
    <w:rsid w:val="002D5780"/>
    <w:rsid w:val="002E0747"/>
    <w:rsid w:val="002E1B82"/>
    <w:rsid w:val="002E466A"/>
    <w:rsid w:val="002F5FE9"/>
    <w:rsid w:val="0030164E"/>
    <w:rsid w:val="003035A4"/>
    <w:rsid w:val="00304B34"/>
    <w:rsid w:val="00305978"/>
    <w:rsid w:val="00306CF9"/>
    <w:rsid w:val="00307807"/>
    <w:rsid w:val="0031044F"/>
    <w:rsid w:val="00317148"/>
    <w:rsid w:val="003179B7"/>
    <w:rsid w:val="0032111E"/>
    <w:rsid w:val="00321EE0"/>
    <w:rsid w:val="00323C2D"/>
    <w:rsid w:val="00330143"/>
    <w:rsid w:val="00330426"/>
    <w:rsid w:val="0033273E"/>
    <w:rsid w:val="00333655"/>
    <w:rsid w:val="00340689"/>
    <w:rsid w:val="00340C51"/>
    <w:rsid w:val="00341F78"/>
    <w:rsid w:val="00342786"/>
    <w:rsid w:val="00345E92"/>
    <w:rsid w:val="003470C6"/>
    <w:rsid w:val="00350CEA"/>
    <w:rsid w:val="00353BAA"/>
    <w:rsid w:val="00353F73"/>
    <w:rsid w:val="003552CA"/>
    <w:rsid w:val="00357C70"/>
    <w:rsid w:val="00360768"/>
    <w:rsid w:val="003619AA"/>
    <w:rsid w:val="003633E5"/>
    <w:rsid w:val="00363DDE"/>
    <w:rsid w:val="003646C3"/>
    <w:rsid w:val="00364B8A"/>
    <w:rsid w:val="00366E6F"/>
    <w:rsid w:val="0037157C"/>
    <w:rsid w:val="00372C07"/>
    <w:rsid w:val="00373AC0"/>
    <w:rsid w:val="00376497"/>
    <w:rsid w:val="003776C7"/>
    <w:rsid w:val="0038073A"/>
    <w:rsid w:val="00380872"/>
    <w:rsid w:val="003810C1"/>
    <w:rsid w:val="00381950"/>
    <w:rsid w:val="00387AA0"/>
    <w:rsid w:val="00391506"/>
    <w:rsid w:val="003935D6"/>
    <w:rsid w:val="003939BA"/>
    <w:rsid w:val="0039577B"/>
    <w:rsid w:val="00395E3C"/>
    <w:rsid w:val="003A1246"/>
    <w:rsid w:val="003A2A7D"/>
    <w:rsid w:val="003A42FD"/>
    <w:rsid w:val="003A53D6"/>
    <w:rsid w:val="003A61F1"/>
    <w:rsid w:val="003A7063"/>
    <w:rsid w:val="003B06A5"/>
    <w:rsid w:val="003B08F9"/>
    <w:rsid w:val="003B2B30"/>
    <w:rsid w:val="003B7AFC"/>
    <w:rsid w:val="003C0FCA"/>
    <w:rsid w:val="003C1943"/>
    <w:rsid w:val="003C3976"/>
    <w:rsid w:val="003C4514"/>
    <w:rsid w:val="003D406D"/>
    <w:rsid w:val="003D5E40"/>
    <w:rsid w:val="003E04D9"/>
    <w:rsid w:val="003E0B15"/>
    <w:rsid w:val="003E56AA"/>
    <w:rsid w:val="003E655E"/>
    <w:rsid w:val="003F1B5D"/>
    <w:rsid w:val="003F6220"/>
    <w:rsid w:val="003F72CC"/>
    <w:rsid w:val="00401516"/>
    <w:rsid w:val="00401BB5"/>
    <w:rsid w:val="004118FA"/>
    <w:rsid w:val="0041307F"/>
    <w:rsid w:val="004133DC"/>
    <w:rsid w:val="00413CFB"/>
    <w:rsid w:val="004146C5"/>
    <w:rsid w:val="0041504B"/>
    <w:rsid w:val="00423F8B"/>
    <w:rsid w:val="004307B7"/>
    <w:rsid w:val="004336BB"/>
    <w:rsid w:val="004352E6"/>
    <w:rsid w:val="00436737"/>
    <w:rsid w:val="0043774A"/>
    <w:rsid w:val="00441407"/>
    <w:rsid w:val="00441B49"/>
    <w:rsid w:val="00442210"/>
    <w:rsid w:val="004510B1"/>
    <w:rsid w:val="00453751"/>
    <w:rsid w:val="00456A36"/>
    <w:rsid w:val="00473188"/>
    <w:rsid w:val="00473B3F"/>
    <w:rsid w:val="004817A6"/>
    <w:rsid w:val="00485B20"/>
    <w:rsid w:val="00487E3B"/>
    <w:rsid w:val="00493E01"/>
    <w:rsid w:val="00494746"/>
    <w:rsid w:val="004A12EA"/>
    <w:rsid w:val="004A1494"/>
    <w:rsid w:val="004A2558"/>
    <w:rsid w:val="004A2CB6"/>
    <w:rsid w:val="004A3D2E"/>
    <w:rsid w:val="004A54DB"/>
    <w:rsid w:val="004A7B36"/>
    <w:rsid w:val="004B0493"/>
    <w:rsid w:val="004B6127"/>
    <w:rsid w:val="004B6597"/>
    <w:rsid w:val="004C1B6E"/>
    <w:rsid w:val="004C5C3C"/>
    <w:rsid w:val="004C5F89"/>
    <w:rsid w:val="004C601C"/>
    <w:rsid w:val="004C6E21"/>
    <w:rsid w:val="004D57A7"/>
    <w:rsid w:val="004E237B"/>
    <w:rsid w:val="004E28CC"/>
    <w:rsid w:val="004F12B7"/>
    <w:rsid w:val="004F199E"/>
    <w:rsid w:val="004F3300"/>
    <w:rsid w:val="004F7809"/>
    <w:rsid w:val="005007AA"/>
    <w:rsid w:val="005027A0"/>
    <w:rsid w:val="0051305D"/>
    <w:rsid w:val="00514027"/>
    <w:rsid w:val="00514793"/>
    <w:rsid w:val="00516B02"/>
    <w:rsid w:val="005208DC"/>
    <w:rsid w:val="00522138"/>
    <w:rsid w:val="00525269"/>
    <w:rsid w:val="00535C6D"/>
    <w:rsid w:val="005372CF"/>
    <w:rsid w:val="00537B72"/>
    <w:rsid w:val="00540A66"/>
    <w:rsid w:val="005413FA"/>
    <w:rsid w:val="00542FD4"/>
    <w:rsid w:val="005430CD"/>
    <w:rsid w:val="0054624C"/>
    <w:rsid w:val="00546EAC"/>
    <w:rsid w:val="00547251"/>
    <w:rsid w:val="00550A70"/>
    <w:rsid w:val="00550EB3"/>
    <w:rsid w:val="00554627"/>
    <w:rsid w:val="00554FA1"/>
    <w:rsid w:val="00560772"/>
    <w:rsid w:val="00562294"/>
    <w:rsid w:val="00562F5E"/>
    <w:rsid w:val="0056533F"/>
    <w:rsid w:val="00573FDE"/>
    <w:rsid w:val="00576627"/>
    <w:rsid w:val="0058285D"/>
    <w:rsid w:val="00582A90"/>
    <w:rsid w:val="005843E2"/>
    <w:rsid w:val="005852EE"/>
    <w:rsid w:val="0058624B"/>
    <w:rsid w:val="00590A5B"/>
    <w:rsid w:val="0059127B"/>
    <w:rsid w:val="005918EB"/>
    <w:rsid w:val="0059249A"/>
    <w:rsid w:val="005963B9"/>
    <w:rsid w:val="005A088D"/>
    <w:rsid w:val="005A3372"/>
    <w:rsid w:val="005A41D0"/>
    <w:rsid w:val="005A7A30"/>
    <w:rsid w:val="005A7AD5"/>
    <w:rsid w:val="005B1A22"/>
    <w:rsid w:val="005B21BB"/>
    <w:rsid w:val="005B488F"/>
    <w:rsid w:val="005B53EC"/>
    <w:rsid w:val="005B5CC1"/>
    <w:rsid w:val="005C1095"/>
    <w:rsid w:val="005C1775"/>
    <w:rsid w:val="005C1898"/>
    <w:rsid w:val="005C2B04"/>
    <w:rsid w:val="005C4471"/>
    <w:rsid w:val="005C4E3F"/>
    <w:rsid w:val="005D099B"/>
    <w:rsid w:val="005D255E"/>
    <w:rsid w:val="005D25CB"/>
    <w:rsid w:val="005D33C4"/>
    <w:rsid w:val="005D5953"/>
    <w:rsid w:val="005D5B24"/>
    <w:rsid w:val="005D7081"/>
    <w:rsid w:val="005E18F2"/>
    <w:rsid w:val="005E381E"/>
    <w:rsid w:val="005E3B45"/>
    <w:rsid w:val="005F1055"/>
    <w:rsid w:val="005F7274"/>
    <w:rsid w:val="00602F23"/>
    <w:rsid w:val="00603D89"/>
    <w:rsid w:val="00606B70"/>
    <w:rsid w:val="006117FD"/>
    <w:rsid w:val="00616AA1"/>
    <w:rsid w:val="006173CD"/>
    <w:rsid w:val="00620223"/>
    <w:rsid w:val="006207E8"/>
    <w:rsid w:val="00620990"/>
    <w:rsid w:val="00620B0D"/>
    <w:rsid w:val="006244ED"/>
    <w:rsid w:val="00624ABB"/>
    <w:rsid w:val="00626305"/>
    <w:rsid w:val="0062639E"/>
    <w:rsid w:val="00632501"/>
    <w:rsid w:val="00635B44"/>
    <w:rsid w:val="00640691"/>
    <w:rsid w:val="00641165"/>
    <w:rsid w:val="00642D12"/>
    <w:rsid w:val="006432EF"/>
    <w:rsid w:val="006470EA"/>
    <w:rsid w:val="00651A8B"/>
    <w:rsid w:val="006525B0"/>
    <w:rsid w:val="00654948"/>
    <w:rsid w:val="00655156"/>
    <w:rsid w:val="006554DF"/>
    <w:rsid w:val="00656D9A"/>
    <w:rsid w:val="0066656F"/>
    <w:rsid w:val="006668F7"/>
    <w:rsid w:val="00671EAA"/>
    <w:rsid w:val="00674417"/>
    <w:rsid w:val="0067485D"/>
    <w:rsid w:val="00675F19"/>
    <w:rsid w:val="006769C8"/>
    <w:rsid w:val="00676FDA"/>
    <w:rsid w:val="00681EFE"/>
    <w:rsid w:val="00682DAD"/>
    <w:rsid w:val="00683604"/>
    <w:rsid w:val="00685516"/>
    <w:rsid w:val="00694E4C"/>
    <w:rsid w:val="00695E5B"/>
    <w:rsid w:val="00696FB2"/>
    <w:rsid w:val="006B634D"/>
    <w:rsid w:val="006B6B6E"/>
    <w:rsid w:val="006B6D8E"/>
    <w:rsid w:val="006C2FD1"/>
    <w:rsid w:val="006D10AA"/>
    <w:rsid w:val="006D2F41"/>
    <w:rsid w:val="006D3CF7"/>
    <w:rsid w:val="006D4108"/>
    <w:rsid w:val="006D4F8B"/>
    <w:rsid w:val="006D6CAF"/>
    <w:rsid w:val="006E0ADB"/>
    <w:rsid w:val="006F4984"/>
    <w:rsid w:val="006F68AC"/>
    <w:rsid w:val="006F7FD6"/>
    <w:rsid w:val="007017AF"/>
    <w:rsid w:val="00702D46"/>
    <w:rsid w:val="007063EB"/>
    <w:rsid w:val="00707CFE"/>
    <w:rsid w:val="00712EE8"/>
    <w:rsid w:val="00715B4D"/>
    <w:rsid w:val="00720A43"/>
    <w:rsid w:val="007221D7"/>
    <w:rsid w:val="00724423"/>
    <w:rsid w:val="007275CE"/>
    <w:rsid w:val="00727659"/>
    <w:rsid w:val="00732178"/>
    <w:rsid w:val="007361AD"/>
    <w:rsid w:val="0073638A"/>
    <w:rsid w:val="00740174"/>
    <w:rsid w:val="00741A41"/>
    <w:rsid w:val="00741C07"/>
    <w:rsid w:val="00741D85"/>
    <w:rsid w:val="007421B0"/>
    <w:rsid w:val="007429D0"/>
    <w:rsid w:val="00742AB9"/>
    <w:rsid w:val="0074337B"/>
    <w:rsid w:val="007534E3"/>
    <w:rsid w:val="0075630D"/>
    <w:rsid w:val="00761BB5"/>
    <w:rsid w:val="00772CE5"/>
    <w:rsid w:val="0077390C"/>
    <w:rsid w:val="00773A38"/>
    <w:rsid w:val="007746C0"/>
    <w:rsid w:val="00775CD1"/>
    <w:rsid w:val="007763F1"/>
    <w:rsid w:val="00776761"/>
    <w:rsid w:val="00783C49"/>
    <w:rsid w:val="00784C30"/>
    <w:rsid w:val="00787C76"/>
    <w:rsid w:val="007928D5"/>
    <w:rsid w:val="007A06B8"/>
    <w:rsid w:val="007A3C9E"/>
    <w:rsid w:val="007A4550"/>
    <w:rsid w:val="007B41DD"/>
    <w:rsid w:val="007B6365"/>
    <w:rsid w:val="007B71E4"/>
    <w:rsid w:val="007C08EF"/>
    <w:rsid w:val="007C29FA"/>
    <w:rsid w:val="007C3538"/>
    <w:rsid w:val="007C5DCE"/>
    <w:rsid w:val="007C7536"/>
    <w:rsid w:val="007D1817"/>
    <w:rsid w:val="007D2BC7"/>
    <w:rsid w:val="007E538C"/>
    <w:rsid w:val="007E7C47"/>
    <w:rsid w:val="007F0B75"/>
    <w:rsid w:val="007F19DC"/>
    <w:rsid w:val="007F3603"/>
    <w:rsid w:val="007F3E7D"/>
    <w:rsid w:val="007F3F81"/>
    <w:rsid w:val="007F5ADE"/>
    <w:rsid w:val="00805E9E"/>
    <w:rsid w:val="00807763"/>
    <w:rsid w:val="0081454D"/>
    <w:rsid w:val="00816FA2"/>
    <w:rsid w:val="00820592"/>
    <w:rsid w:val="008238D6"/>
    <w:rsid w:val="00823C9C"/>
    <w:rsid w:val="00824835"/>
    <w:rsid w:val="00824C3C"/>
    <w:rsid w:val="008276D4"/>
    <w:rsid w:val="00833AFD"/>
    <w:rsid w:val="0083542F"/>
    <w:rsid w:val="0083746C"/>
    <w:rsid w:val="00840DD6"/>
    <w:rsid w:val="008442FC"/>
    <w:rsid w:val="008453F3"/>
    <w:rsid w:val="008521B1"/>
    <w:rsid w:val="0086537E"/>
    <w:rsid w:val="00865DDC"/>
    <w:rsid w:val="0086745F"/>
    <w:rsid w:val="00871BC3"/>
    <w:rsid w:val="008726B3"/>
    <w:rsid w:val="0087665B"/>
    <w:rsid w:val="008823C4"/>
    <w:rsid w:val="008834C1"/>
    <w:rsid w:val="00885BEF"/>
    <w:rsid w:val="008876E7"/>
    <w:rsid w:val="00890797"/>
    <w:rsid w:val="008912F2"/>
    <w:rsid w:val="008928C3"/>
    <w:rsid w:val="008961F9"/>
    <w:rsid w:val="0089766B"/>
    <w:rsid w:val="008A0D89"/>
    <w:rsid w:val="008A6EC2"/>
    <w:rsid w:val="008A7026"/>
    <w:rsid w:val="008A78F9"/>
    <w:rsid w:val="008A795D"/>
    <w:rsid w:val="008A7E58"/>
    <w:rsid w:val="008B26DB"/>
    <w:rsid w:val="008B6418"/>
    <w:rsid w:val="008C373B"/>
    <w:rsid w:val="008C41AC"/>
    <w:rsid w:val="008C4A52"/>
    <w:rsid w:val="008C6EBA"/>
    <w:rsid w:val="008C758E"/>
    <w:rsid w:val="008D1E5D"/>
    <w:rsid w:val="008D598A"/>
    <w:rsid w:val="008D6C77"/>
    <w:rsid w:val="008E121B"/>
    <w:rsid w:val="008E1BA1"/>
    <w:rsid w:val="008E305A"/>
    <w:rsid w:val="008E3D55"/>
    <w:rsid w:val="008E4252"/>
    <w:rsid w:val="008F2274"/>
    <w:rsid w:val="008F751A"/>
    <w:rsid w:val="0090129C"/>
    <w:rsid w:val="0090197E"/>
    <w:rsid w:val="00905A99"/>
    <w:rsid w:val="009075C4"/>
    <w:rsid w:val="0091059F"/>
    <w:rsid w:val="00911BC5"/>
    <w:rsid w:val="00912BE1"/>
    <w:rsid w:val="00913161"/>
    <w:rsid w:val="009132C3"/>
    <w:rsid w:val="009160F2"/>
    <w:rsid w:val="009179C1"/>
    <w:rsid w:val="009205DF"/>
    <w:rsid w:val="00923C03"/>
    <w:rsid w:val="00923E9E"/>
    <w:rsid w:val="00924626"/>
    <w:rsid w:val="009261E0"/>
    <w:rsid w:val="009271E3"/>
    <w:rsid w:val="00927219"/>
    <w:rsid w:val="009349BB"/>
    <w:rsid w:val="00935167"/>
    <w:rsid w:val="009353B4"/>
    <w:rsid w:val="00936103"/>
    <w:rsid w:val="0095154E"/>
    <w:rsid w:val="00957F1E"/>
    <w:rsid w:val="00960640"/>
    <w:rsid w:val="00960916"/>
    <w:rsid w:val="00960AA8"/>
    <w:rsid w:val="009617A7"/>
    <w:rsid w:val="0096348F"/>
    <w:rsid w:val="00963A1C"/>
    <w:rsid w:val="00965492"/>
    <w:rsid w:val="00965DC2"/>
    <w:rsid w:val="00971ED9"/>
    <w:rsid w:val="009722EB"/>
    <w:rsid w:val="00972490"/>
    <w:rsid w:val="0097385C"/>
    <w:rsid w:val="00973F06"/>
    <w:rsid w:val="00977588"/>
    <w:rsid w:val="00983912"/>
    <w:rsid w:val="00987FD7"/>
    <w:rsid w:val="00993857"/>
    <w:rsid w:val="009939D3"/>
    <w:rsid w:val="00993B1A"/>
    <w:rsid w:val="009A1E5C"/>
    <w:rsid w:val="009A479A"/>
    <w:rsid w:val="009A4B46"/>
    <w:rsid w:val="009A71D1"/>
    <w:rsid w:val="009A7393"/>
    <w:rsid w:val="009B03FA"/>
    <w:rsid w:val="009B065B"/>
    <w:rsid w:val="009B07F3"/>
    <w:rsid w:val="009B5E9B"/>
    <w:rsid w:val="009B64EB"/>
    <w:rsid w:val="009B7624"/>
    <w:rsid w:val="009C0DA2"/>
    <w:rsid w:val="009C0E8B"/>
    <w:rsid w:val="009C1374"/>
    <w:rsid w:val="009C282B"/>
    <w:rsid w:val="009C4F7C"/>
    <w:rsid w:val="009C574A"/>
    <w:rsid w:val="009C691E"/>
    <w:rsid w:val="009D2C29"/>
    <w:rsid w:val="009D39DF"/>
    <w:rsid w:val="009D4107"/>
    <w:rsid w:val="009D586B"/>
    <w:rsid w:val="009D6E9F"/>
    <w:rsid w:val="009D71A6"/>
    <w:rsid w:val="009D7210"/>
    <w:rsid w:val="009D7A60"/>
    <w:rsid w:val="009E2228"/>
    <w:rsid w:val="009E2EE4"/>
    <w:rsid w:val="009E4555"/>
    <w:rsid w:val="009E6CA2"/>
    <w:rsid w:val="009E7158"/>
    <w:rsid w:val="009F2013"/>
    <w:rsid w:val="009F2ADF"/>
    <w:rsid w:val="009F45F4"/>
    <w:rsid w:val="009F55E4"/>
    <w:rsid w:val="00A0161A"/>
    <w:rsid w:val="00A0250B"/>
    <w:rsid w:val="00A02F97"/>
    <w:rsid w:val="00A044AA"/>
    <w:rsid w:val="00A10469"/>
    <w:rsid w:val="00A123C4"/>
    <w:rsid w:val="00A124E1"/>
    <w:rsid w:val="00A13F13"/>
    <w:rsid w:val="00A14090"/>
    <w:rsid w:val="00A142EA"/>
    <w:rsid w:val="00A143F5"/>
    <w:rsid w:val="00A158B6"/>
    <w:rsid w:val="00A17AA9"/>
    <w:rsid w:val="00A24DAF"/>
    <w:rsid w:val="00A2521E"/>
    <w:rsid w:val="00A27263"/>
    <w:rsid w:val="00A274C9"/>
    <w:rsid w:val="00A306A4"/>
    <w:rsid w:val="00A37F9B"/>
    <w:rsid w:val="00A41EC7"/>
    <w:rsid w:val="00A43E44"/>
    <w:rsid w:val="00A4449C"/>
    <w:rsid w:val="00A51DC2"/>
    <w:rsid w:val="00A538A1"/>
    <w:rsid w:val="00A54808"/>
    <w:rsid w:val="00A57961"/>
    <w:rsid w:val="00A57B1A"/>
    <w:rsid w:val="00A65A59"/>
    <w:rsid w:val="00A6717C"/>
    <w:rsid w:val="00A70C14"/>
    <w:rsid w:val="00A70D49"/>
    <w:rsid w:val="00A72017"/>
    <w:rsid w:val="00A721EF"/>
    <w:rsid w:val="00A7260D"/>
    <w:rsid w:val="00A72EEC"/>
    <w:rsid w:val="00A75D13"/>
    <w:rsid w:val="00A81D06"/>
    <w:rsid w:val="00A84FBE"/>
    <w:rsid w:val="00A85687"/>
    <w:rsid w:val="00A85D83"/>
    <w:rsid w:val="00A90DB6"/>
    <w:rsid w:val="00A90DFE"/>
    <w:rsid w:val="00A94D2D"/>
    <w:rsid w:val="00A96A75"/>
    <w:rsid w:val="00AA114F"/>
    <w:rsid w:val="00AA1F8E"/>
    <w:rsid w:val="00AA284A"/>
    <w:rsid w:val="00AB0F75"/>
    <w:rsid w:val="00AB1A71"/>
    <w:rsid w:val="00AB3C4C"/>
    <w:rsid w:val="00AB714C"/>
    <w:rsid w:val="00AC152A"/>
    <w:rsid w:val="00AC5381"/>
    <w:rsid w:val="00AC671F"/>
    <w:rsid w:val="00AD1EC3"/>
    <w:rsid w:val="00AD2C70"/>
    <w:rsid w:val="00AD3EB2"/>
    <w:rsid w:val="00AD6404"/>
    <w:rsid w:val="00AE04C5"/>
    <w:rsid w:val="00AE0CA0"/>
    <w:rsid w:val="00AF1AF8"/>
    <w:rsid w:val="00AF5E7D"/>
    <w:rsid w:val="00B01B20"/>
    <w:rsid w:val="00B01F10"/>
    <w:rsid w:val="00B0517E"/>
    <w:rsid w:val="00B051A3"/>
    <w:rsid w:val="00B12962"/>
    <w:rsid w:val="00B14A17"/>
    <w:rsid w:val="00B15B9E"/>
    <w:rsid w:val="00B16578"/>
    <w:rsid w:val="00B208EF"/>
    <w:rsid w:val="00B22870"/>
    <w:rsid w:val="00B350E1"/>
    <w:rsid w:val="00B45E50"/>
    <w:rsid w:val="00B46AE7"/>
    <w:rsid w:val="00B5104E"/>
    <w:rsid w:val="00B5109A"/>
    <w:rsid w:val="00B55D35"/>
    <w:rsid w:val="00B55E72"/>
    <w:rsid w:val="00B572B7"/>
    <w:rsid w:val="00B6016B"/>
    <w:rsid w:val="00B60FD8"/>
    <w:rsid w:val="00B648A0"/>
    <w:rsid w:val="00B66836"/>
    <w:rsid w:val="00B77B07"/>
    <w:rsid w:val="00B94734"/>
    <w:rsid w:val="00BA6966"/>
    <w:rsid w:val="00BB0230"/>
    <w:rsid w:val="00BB22FA"/>
    <w:rsid w:val="00BC165D"/>
    <w:rsid w:val="00BC7846"/>
    <w:rsid w:val="00BE13E5"/>
    <w:rsid w:val="00BE2640"/>
    <w:rsid w:val="00BE44ED"/>
    <w:rsid w:val="00BE4530"/>
    <w:rsid w:val="00BE70D3"/>
    <w:rsid w:val="00BF26D7"/>
    <w:rsid w:val="00BF610E"/>
    <w:rsid w:val="00BF7423"/>
    <w:rsid w:val="00C0026D"/>
    <w:rsid w:val="00C0200F"/>
    <w:rsid w:val="00C12290"/>
    <w:rsid w:val="00C12AAF"/>
    <w:rsid w:val="00C16ED5"/>
    <w:rsid w:val="00C21DB7"/>
    <w:rsid w:val="00C222B2"/>
    <w:rsid w:val="00C22310"/>
    <w:rsid w:val="00C252B4"/>
    <w:rsid w:val="00C25510"/>
    <w:rsid w:val="00C25CAE"/>
    <w:rsid w:val="00C27B66"/>
    <w:rsid w:val="00C3278E"/>
    <w:rsid w:val="00C33232"/>
    <w:rsid w:val="00C34FBA"/>
    <w:rsid w:val="00C36985"/>
    <w:rsid w:val="00C52AC2"/>
    <w:rsid w:val="00C54807"/>
    <w:rsid w:val="00C60491"/>
    <w:rsid w:val="00C61603"/>
    <w:rsid w:val="00C64293"/>
    <w:rsid w:val="00C64547"/>
    <w:rsid w:val="00C702B8"/>
    <w:rsid w:val="00C70803"/>
    <w:rsid w:val="00C726AD"/>
    <w:rsid w:val="00C744FA"/>
    <w:rsid w:val="00C75114"/>
    <w:rsid w:val="00C76127"/>
    <w:rsid w:val="00C8030B"/>
    <w:rsid w:val="00C85C76"/>
    <w:rsid w:val="00C917DA"/>
    <w:rsid w:val="00C927D2"/>
    <w:rsid w:val="00C95321"/>
    <w:rsid w:val="00CA33E4"/>
    <w:rsid w:val="00CA3597"/>
    <w:rsid w:val="00CB1038"/>
    <w:rsid w:val="00CB147B"/>
    <w:rsid w:val="00CB1FB0"/>
    <w:rsid w:val="00CB339D"/>
    <w:rsid w:val="00CB48DA"/>
    <w:rsid w:val="00CB607F"/>
    <w:rsid w:val="00CB677A"/>
    <w:rsid w:val="00CB7132"/>
    <w:rsid w:val="00CC01DB"/>
    <w:rsid w:val="00CC3960"/>
    <w:rsid w:val="00CC4886"/>
    <w:rsid w:val="00CC6C8F"/>
    <w:rsid w:val="00CD0A93"/>
    <w:rsid w:val="00CD2998"/>
    <w:rsid w:val="00CD3C57"/>
    <w:rsid w:val="00CE618D"/>
    <w:rsid w:val="00CE747F"/>
    <w:rsid w:val="00CF5108"/>
    <w:rsid w:val="00CF5204"/>
    <w:rsid w:val="00D039E2"/>
    <w:rsid w:val="00D069D7"/>
    <w:rsid w:val="00D1033E"/>
    <w:rsid w:val="00D104D2"/>
    <w:rsid w:val="00D165C9"/>
    <w:rsid w:val="00D2408C"/>
    <w:rsid w:val="00D25085"/>
    <w:rsid w:val="00D25FFE"/>
    <w:rsid w:val="00D26F37"/>
    <w:rsid w:val="00D27851"/>
    <w:rsid w:val="00D378B7"/>
    <w:rsid w:val="00D40606"/>
    <w:rsid w:val="00D4279E"/>
    <w:rsid w:val="00D43414"/>
    <w:rsid w:val="00D44CDC"/>
    <w:rsid w:val="00D4543E"/>
    <w:rsid w:val="00D45D28"/>
    <w:rsid w:val="00D47B52"/>
    <w:rsid w:val="00D50EEC"/>
    <w:rsid w:val="00D516FF"/>
    <w:rsid w:val="00D517DE"/>
    <w:rsid w:val="00D52D20"/>
    <w:rsid w:val="00D53D0B"/>
    <w:rsid w:val="00D56B22"/>
    <w:rsid w:val="00D56BA5"/>
    <w:rsid w:val="00D57330"/>
    <w:rsid w:val="00D57724"/>
    <w:rsid w:val="00D57D4A"/>
    <w:rsid w:val="00D6229B"/>
    <w:rsid w:val="00D65617"/>
    <w:rsid w:val="00D70EEC"/>
    <w:rsid w:val="00D71325"/>
    <w:rsid w:val="00D727CC"/>
    <w:rsid w:val="00D758EC"/>
    <w:rsid w:val="00D81168"/>
    <w:rsid w:val="00D87BE6"/>
    <w:rsid w:val="00D87CE9"/>
    <w:rsid w:val="00D91333"/>
    <w:rsid w:val="00D916BF"/>
    <w:rsid w:val="00D917A4"/>
    <w:rsid w:val="00DA06CF"/>
    <w:rsid w:val="00DA4B4C"/>
    <w:rsid w:val="00DA7671"/>
    <w:rsid w:val="00DB2B74"/>
    <w:rsid w:val="00DB3524"/>
    <w:rsid w:val="00DB3C76"/>
    <w:rsid w:val="00DB7CE8"/>
    <w:rsid w:val="00DC257A"/>
    <w:rsid w:val="00DC47F1"/>
    <w:rsid w:val="00DC5185"/>
    <w:rsid w:val="00DD198E"/>
    <w:rsid w:val="00DD4D1A"/>
    <w:rsid w:val="00DD613D"/>
    <w:rsid w:val="00DE1DE9"/>
    <w:rsid w:val="00DE1FE6"/>
    <w:rsid w:val="00DE3252"/>
    <w:rsid w:val="00DE6492"/>
    <w:rsid w:val="00DF59EE"/>
    <w:rsid w:val="00DF7B24"/>
    <w:rsid w:val="00E0019F"/>
    <w:rsid w:val="00E0191C"/>
    <w:rsid w:val="00E02509"/>
    <w:rsid w:val="00E030D0"/>
    <w:rsid w:val="00E06542"/>
    <w:rsid w:val="00E066AE"/>
    <w:rsid w:val="00E10880"/>
    <w:rsid w:val="00E132D8"/>
    <w:rsid w:val="00E13662"/>
    <w:rsid w:val="00E15555"/>
    <w:rsid w:val="00E2022A"/>
    <w:rsid w:val="00E2184E"/>
    <w:rsid w:val="00E24938"/>
    <w:rsid w:val="00E259F0"/>
    <w:rsid w:val="00E260B9"/>
    <w:rsid w:val="00E2709A"/>
    <w:rsid w:val="00E3071C"/>
    <w:rsid w:val="00E31233"/>
    <w:rsid w:val="00E46532"/>
    <w:rsid w:val="00E46D49"/>
    <w:rsid w:val="00E50E29"/>
    <w:rsid w:val="00E5128A"/>
    <w:rsid w:val="00E60E43"/>
    <w:rsid w:val="00E7018C"/>
    <w:rsid w:val="00E707C1"/>
    <w:rsid w:val="00E71D04"/>
    <w:rsid w:val="00E726F2"/>
    <w:rsid w:val="00E7387A"/>
    <w:rsid w:val="00E74367"/>
    <w:rsid w:val="00E74AF9"/>
    <w:rsid w:val="00E8046B"/>
    <w:rsid w:val="00E86E07"/>
    <w:rsid w:val="00E90B94"/>
    <w:rsid w:val="00E9383B"/>
    <w:rsid w:val="00EA0CD7"/>
    <w:rsid w:val="00EA33B4"/>
    <w:rsid w:val="00EA3893"/>
    <w:rsid w:val="00EA4370"/>
    <w:rsid w:val="00EA5BEA"/>
    <w:rsid w:val="00EB05A8"/>
    <w:rsid w:val="00EB339C"/>
    <w:rsid w:val="00EB764B"/>
    <w:rsid w:val="00EC1262"/>
    <w:rsid w:val="00EC78F5"/>
    <w:rsid w:val="00ED00B3"/>
    <w:rsid w:val="00ED5200"/>
    <w:rsid w:val="00ED6C5C"/>
    <w:rsid w:val="00ED7A29"/>
    <w:rsid w:val="00EE110A"/>
    <w:rsid w:val="00EE34AF"/>
    <w:rsid w:val="00EE34F9"/>
    <w:rsid w:val="00EE4494"/>
    <w:rsid w:val="00EE4568"/>
    <w:rsid w:val="00EE49B9"/>
    <w:rsid w:val="00EF1D3D"/>
    <w:rsid w:val="00EF285B"/>
    <w:rsid w:val="00EF52DE"/>
    <w:rsid w:val="00F0371E"/>
    <w:rsid w:val="00F03CC3"/>
    <w:rsid w:val="00F07122"/>
    <w:rsid w:val="00F10C5C"/>
    <w:rsid w:val="00F1143A"/>
    <w:rsid w:val="00F13E97"/>
    <w:rsid w:val="00F31C8B"/>
    <w:rsid w:val="00F32F0D"/>
    <w:rsid w:val="00F336EA"/>
    <w:rsid w:val="00F347A2"/>
    <w:rsid w:val="00F36AEC"/>
    <w:rsid w:val="00F37775"/>
    <w:rsid w:val="00F408E3"/>
    <w:rsid w:val="00F414CE"/>
    <w:rsid w:val="00F4475C"/>
    <w:rsid w:val="00F452AC"/>
    <w:rsid w:val="00F50513"/>
    <w:rsid w:val="00F523DC"/>
    <w:rsid w:val="00F553AF"/>
    <w:rsid w:val="00F56A18"/>
    <w:rsid w:val="00F639F8"/>
    <w:rsid w:val="00F65360"/>
    <w:rsid w:val="00F7139B"/>
    <w:rsid w:val="00F716A9"/>
    <w:rsid w:val="00F723C9"/>
    <w:rsid w:val="00F73227"/>
    <w:rsid w:val="00F73D8C"/>
    <w:rsid w:val="00F74D13"/>
    <w:rsid w:val="00F775FE"/>
    <w:rsid w:val="00F80921"/>
    <w:rsid w:val="00F839DC"/>
    <w:rsid w:val="00F8415F"/>
    <w:rsid w:val="00F84BDD"/>
    <w:rsid w:val="00F860AC"/>
    <w:rsid w:val="00F87A80"/>
    <w:rsid w:val="00F95060"/>
    <w:rsid w:val="00F9515C"/>
    <w:rsid w:val="00F97324"/>
    <w:rsid w:val="00FA13DB"/>
    <w:rsid w:val="00FA1DEC"/>
    <w:rsid w:val="00FA4FF2"/>
    <w:rsid w:val="00FA64E3"/>
    <w:rsid w:val="00FB081C"/>
    <w:rsid w:val="00FB2D80"/>
    <w:rsid w:val="00FB3298"/>
    <w:rsid w:val="00FB40B1"/>
    <w:rsid w:val="00FB5602"/>
    <w:rsid w:val="00FB5E06"/>
    <w:rsid w:val="00FC0405"/>
    <w:rsid w:val="00FC1BB5"/>
    <w:rsid w:val="00FC51C1"/>
    <w:rsid w:val="00FC5750"/>
    <w:rsid w:val="00FC741E"/>
    <w:rsid w:val="00FD25DB"/>
    <w:rsid w:val="00FD4515"/>
    <w:rsid w:val="00FD682B"/>
    <w:rsid w:val="00FE248F"/>
    <w:rsid w:val="00FE5AE8"/>
    <w:rsid w:val="00FE5D1E"/>
    <w:rsid w:val="00FF0EDC"/>
    <w:rsid w:val="00FF135C"/>
    <w:rsid w:val="00FF5838"/>
    <w:rsid w:val="00FF5907"/>
    <w:rsid w:val="00FF77C8"/>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28B077"/>
  <w15:docId w15:val="{45D44C69-5340-42BC-9D96-2AE67F9E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F41"/>
    <w:rPr>
      <w:rFonts w:ascii="Arial" w:hAnsi="Arial"/>
      <w:color w:val="000000" w:themeColor="text1"/>
      <w:lang w:val="en-AU"/>
    </w:rPr>
  </w:style>
  <w:style w:type="paragraph" w:styleId="Heading1">
    <w:name w:val="heading 1"/>
    <w:basedOn w:val="Normal"/>
    <w:next w:val="Normal"/>
    <w:link w:val="Heading1Char"/>
    <w:uiPriority w:val="9"/>
    <w:qFormat/>
    <w:rsid w:val="007A4550"/>
    <w:pPr>
      <w:keepNext/>
      <w:keepLines/>
      <w:pageBreakBefore/>
      <w:pBdr>
        <w:bottom w:val="single" w:sz="18" w:space="3" w:color="FD4F00"/>
      </w:pBdr>
      <w:spacing w:before="480" w:after="240" w:line="240" w:lineRule="auto"/>
      <w:outlineLvl w:val="0"/>
    </w:pPr>
    <w:rPr>
      <w:rFonts w:eastAsiaTheme="majorEastAsia" w:cstheme="majorBidi"/>
      <w:b/>
      <w:bCs/>
      <w:color w:val="auto"/>
      <w:sz w:val="36"/>
      <w:szCs w:val="28"/>
      <w:u w:color="FD4F00"/>
    </w:rPr>
  </w:style>
  <w:style w:type="paragraph" w:styleId="Heading2">
    <w:name w:val="heading 2"/>
    <w:basedOn w:val="Normal"/>
    <w:next w:val="Normal"/>
    <w:link w:val="Heading2Char"/>
    <w:uiPriority w:val="9"/>
    <w:unhideWhenUsed/>
    <w:qFormat/>
    <w:rsid w:val="00676FDA"/>
    <w:pPr>
      <w:keepNext/>
      <w:keepLines/>
      <w:pBdr>
        <w:bottom w:val="single" w:sz="12" w:space="3" w:color="FF79FF"/>
      </w:pBdr>
      <w:spacing w:before="400"/>
      <w:outlineLvl w:val="1"/>
    </w:pPr>
    <w:rPr>
      <w:rFonts w:eastAsiaTheme="majorEastAsia" w:cstheme="majorBidi"/>
      <w:b/>
      <w:bCs/>
      <w:color w:val="FD4F00"/>
      <w:sz w:val="28"/>
      <w:szCs w:val="26"/>
      <w:u w:color="FF79FF"/>
    </w:rPr>
  </w:style>
  <w:style w:type="paragraph" w:styleId="Heading3">
    <w:name w:val="heading 3"/>
    <w:basedOn w:val="Normal"/>
    <w:next w:val="Normal"/>
    <w:link w:val="Heading3Char"/>
    <w:autoRedefine/>
    <w:uiPriority w:val="9"/>
    <w:unhideWhenUsed/>
    <w:qFormat/>
    <w:rsid w:val="00535C6D"/>
    <w:pPr>
      <w:keepNext/>
      <w:keepLines/>
      <w:spacing w:before="200" w:after="120" w:line="288" w:lineRule="atLeast"/>
      <w:outlineLvl w:val="2"/>
    </w:pPr>
    <w:rPr>
      <w:rFonts w:eastAsiaTheme="majorEastAsia" w:cs="Calibri Light"/>
      <w:b/>
      <w:bCs/>
      <w:szCs w:val="44"/>
      <w:u w:val="single" w:color="7800FF"/>
    </w:rPr>
  </w:style>
  <w:style w:type="paragraph" w:styleId="Heading4">
    <w:name w:val="heading 4"/>
    <w:basedOn w:val="Normal"/>
    <w:next w:val="Normal"/>
    <w:link w:val="Heading4Char"/>
    <w:uiPriority w:val="9"/>
    <w:unhideWhenUsed/>
    <w:qFormat/>
    <w:rsid w:val="00606B70"/>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rsid w:val="00E3071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676FDA"/>
    <w:rPr>
      <w:rFonts w:ascii="Arial" w:eastAsiaTheme="majorEastAsia" w:hAnsi="Arial" w:cstheme="majorBidi"/>
      <w:b/>
      <w:bCs/>
      <w:color w:val="FD4F00"/>
      <w:sz w:val="28"/>
      <w:szCs w:val="26"/>
      <w:u w:color="FF79FF"/>
      <w:lang w:val="en-AU"/>
    </w:rPr>
  </w:style>
  <w:style w:type="paragraph" w:styleId="TOC1">
    <w:name w:val="toc 1"/>
    <w:basedOn w:val="Normal"/>
    <w:next w:val="Normal"/>
    <w:autoRedefine/>
    <w:uiPriority w:val="39"/>
    <w:unhideWhenUsed/>
    <w:rsid w:val="009B7624"/>
    <w:pPr>
      <w:tabs>
        <w:tab w:val="right" w:leader="dot" w:pos="9010"/>
      </w:tabs>
      <w:spacing w:after="100"/>
    </w:pPr>
  </w:style>
  <w:style w:type="character" w:customStyle="1" w:styleId="Heading1Char">
    <w:name w:val="Heading 1 Char"/>
    <w:basedOn w:val="DefaultParagraphFont"/>
    <w:link w:val="Heading1"/>
    <w:uiPriority w:val="9"/>
    <w:rsid w:val="007A4550"/>
    <w:rPr>
      <w:rFonts w:ascii="Arial" w:eastAsiaTheme="majorEastAsia" w:hAnsi="Arial" w:cstheme="majorBidi"/>
      <w:b/>
      <w:bCs/>
      <w:sz w:val="36"/>
      <w:szCs w:val="28"/>
      <w:u w:color="FD4F00"/>
      <w:lang w:val="en-AU"/>
    </w:rPr>
  </w:style>
  <w:style w:type="character" w:customStyle="1" w:styleId="Heading3Char">
    <w:name w:val="Heading 3 Char"/>
    <w:basedOn w:val="DefaultParagraphFont"/>
    <w:link w:val="Heading3"/>
    <w:uiPriority w:val="9"/>
    <w:rsid w:val="00535C6D"/>
    <w:rPr>
      <w:rFonts w:ascii="Arial" w:eastAsiaTheme="majorEastAsia" w:hAnsi="Arial" w:cs="Calibri Light"/>
      <w:b/>
      <w:bCs/>
      <w:color w:val="000000" w:themeColor="text1"/>
      <w:szCs w:val="44"/>
      <w:u w:val="single" w:color="7800FF"/>
      <w:lang w:val="en-AU"/>
    </w:rPr>
  </w:style>
  <w:style w:type="character" w:customStyle="1" w:styleId="Heading4Char">
    <w:name w:val="Heading 4 Char"/>
    <w:basedOn w:val="DefaultParagraphFont"/>
    <w:link w:val="Heading4"/>
    <w:uiPriority w:val="9"/>
    <w:rsid w:val="00606B70"/>
    <w:rPr>
      <w:rFonts w:ascii="Arial" w:eastAsiaTheme="majorEastAsia" w:hAnsi="Arial" w:cstheme="majorBidi"/>
      <w:b/>
      <w:bCs/>
      <w:iCs/>
      <w:color w:val="000000" w:themeColor="text1"/>
      <w:lang w:val="en-AU"/>
    </w:rPr>
  </w:style>
  <w:style w:type="paragraph" w:styleId="Title">
    <w:name w:val="Title"/>
    <w:basedOn w:val="Normal"/>
    <w:next w:val="Normal"/>
    <w:link w:val="TitleChar"/>
    <w:uiPriority w:val="10"/>
    <w:qFormat/>
    <w:rsid w:val="004118FA"/>
    <w:pPr>
      <w:pBdr>
        <w:bottom w:val="single" w:sz="24" w:space="3" w:color="FD4F00"/>
      </w:pBdr>
      <w:spacing w:after="300" w:line="216" w:lineRule="auto"/>
      <w:ind w:right="2835"/>
      <w:contextualSpacing/>
    </w:pPr>
    <w:rPr>
      <w:rFonts w:eastAsiaTheme="majorEastAsia" w:cstheme="majorBidi"/>
      <w:b/>
      <w:spacing w:val="5"/>
      <w:kern w:val="28"/>
      <w:sz w:val="96"/>
      <w:szCs w:val="52"/>
      <w:u w:color="FD4F00"/>
    </w:rPr>
  </w:style>
  <w:style w:type="character" w:customStyle="1" w:styleId="TitleChar">
    <w:name w:val="Title Char"/>
    <w:basedOn w:val="DefaultParagraphFont"/>
    <w:link w:val="Title"/>
    <w:uiPriority w:val="10"/>
    <w:rsid w:val="004118FA"/>
    <w:rPr>
      <w:rFonts w:ascii="Arial" w:eastAsiaTheme="majorEastAsia" w:hAnsi="Arial" w:cstheme="majorBidi"/>
      <w:b/>
      <w:color w:val="000000" w:themeColor="text1"/>
      <w:spacing w:val="5"/>
      <w:kern w:val="28"/>
      <w:sz w:val="96"/>
      <w:szCs w:val="52"/>
      <w:u w:color="FD4F00"/>
      <w:lang w:val="en-AU"/>
    </w:rPr>
  </w:style>
  <w:style w:type="paragraph" w:styleId="Subtitle">
    <w:name w:val="Subtitle"/>
    <w:basedOn w:val="Normal"/>
    <w:next w:val="Normal"/>
    <w:link w:val="SubtitleChar"/>
    <w:uiPriority w:val="11"/>
    <w:rsid w:val="004118FA"/>
    <w:pPr>
      <w:numPr>
        <w:ilvl w:val="1"/>
      </w:numPr>
      <w:spacing w:before="1000" w:line="228" w:lineRule="auto"/>
      <w:ind w:right="2835"/>
    </w:pPr>
    <w:rPr>
      <w:rFonts w:asciiTheme="majorHAnsi" w:eastAsiaTheme="majorEastAsia" w:hAnsiTheme="majorHAnsi" w:cstheme="majorHAnsi"/>
      <w:b/>
      <w:bCs/>
      <w:iCs/>
      <w:color w:val="auto"/>
      <w:spacing w:val="15"/>
      <w:sz w:val="48"/>
      <w:szCs w:val="48"/>
    </w:rPr>
  </w:style>
  <w:style w:type="character" w:customStyle="1" w:styleId="SubtitleChar">
    <w:name w:val="Subtitle Char"/>
    <w:basedOn w:val="DefaultParagraphFont"/>
    <w:link w:val="Subtitle"/>
    <w:uiPriority w:val="11"/>
    <w:rsid w:val="004118FA"/>
    <w:rPr>
      <w:rFonts w:asciiTheme="majorHAnsi" w:eastAsiaTheme="majorEastAsia" w:hAnsiTheme="majorHAnsi" w:cstheme="majorHAnsi"/>
      <w:b/>
      <w:bCs/>
      <w:iCs/>
      <w:spacing w:val="15"/>
      <w:sz w:val="48"/>
      <w:szCs w:val="48"/>
      <w:lang w:val="en-AU"/>
    </w:rPr>
  </w:style>
  <w:style w:type="character" w:styleId="SubtleEmphasis">
    <w:name w:val="Subtle Emphasis"/>
    <w:basedOn w:val="DefaultParagraphFont"/>
    <w:uiPriority w:val="19"/>
    <w:rsid w:val="002D31E1"/>
    <w:rPr>
      <w:rFonts w:ascii="Calibri Light" w:hAnsi="Calibri Light"/>
      <w:i/>
      <w:iCs/>
      <w:color w:val="393D61"/>
    </w:rPr>
  </w:style>
  <w:style w:type="character" w:styleId="Emphasis">
    <w:name w:val="Emphasis"/>
    <w:basedOn w:val="DefaultParagraphFont"/>
    <w:uiPriority w:val="20"/>
    <w:rsid w:val="00E3071C"/>
    <w:rPr>
      <w:i/>
      <w:iCs/>
      <w:color w:val="ED6778"/>
    </w:rPr>
  </w:style>
  <w:style w:type="character" w:styleId="IntenseEmphasis">
    <w:name w:val="Intense Emphasis"/>
    <w:basedOn w:val="DefaultParagraphFont"/>
    <w:uiPriority w:val="21"/>
    <w:rsid w:val="00E3071C"/>
    <w:rPr>
      <w:rFonts w:ascii="Gotham Medium Italic" w:hAnsi="Gotham Medium Italic"/>
      <w:bCs/>
      <w:iCs/>
      <w:color w:val="ED6778"/>
    </w:rPr>
  </w:style>
  <w:style w:type="character" w:styleId="Strong">
    <w:name w:val="Strong"/>
    <w:basedOn w:val="DefaultParagraphFont"/>
    <w:uiPriority w:val="22"/>
    <w:qFormat/>
    <w:rsid w:val="00ED00B3"/>
    <w:rPr>
      <w:b/>
      <w:bCs/>
    </w:rPr>
  </w:style>
  <w:style w:type="character" w:customStyle="1" w:styleId="Heading5Char">
    <w:name w:val="Heading 5 Char"/>
    <w:basedOn w:val="DefaultParagraphFont"/>
    <w:link w:val="Heading5"/>
    <w:uiPriority w:val="9"/>
    <w:rsid w:val="00E3071C"/>
    <w:rPr>
      <w:rFonts w:asciiTheme="majorHAnsi" w:eastAsiaTheme="majorEastAsia" w:hAnsiTheme="majorHAnsi" w:cstheme="majorBidi"/>
      <w:color w:val="1F2044"/>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qFormat/>
    <w:rsid w:val="00ED00B3"/>
    <w:pPr>
      <w:spacing w:line="240" w:lineRule="auto"/>
    </w:pPr>
    <w:rPr>
      <w:rFonts w:ascii="Gotham Book" w:hAnsi="Gotham Book"/>
      <w:b/>
      <w:bCs/>
      <w:color w:val="4F81BD" w:themeColor="accent1"/>
      <w:sz w:val="18"/>
      <w:szCs w:val="18"/>
    </w:rPr>
  </w:style>
  <w:style w:type="character" w:customStyle="1" w:styleId="NoSpacingChar">
    <w:name w:val="No Spacing Char"/>
    <w:basedOn w:val="DefaultParagraphFont"/>
    <w:link w:val="NoSpacing"/>
    <w:uiPriority w:val="1"/>
    <w:rsid w:val="002B7E18"/>
    <w:rPr>
      <w:rFonts w:ascii="Gotham Book" w:hAnsi="Gotham Book"/>
      <w:color w:val="17365D" w:themeColor="text2" w:themeShade="BF"/>
    </w:rPr>
  </w:style>
  <w:style w:type="paragraph" w:styleId="ListParagraph">
    <w:name w:val="List Paragraph"/>
    <w:basedOn w:val="Normal"/>
    <w:link w:val="ListParagraphChar"/>
    <w:uiPriority w:val="34"/>
    <w:qFormat/>
    <w:rsid w:val="00ED00B3"/>
    <w:pPr>
      <w:ind w:left="720"/>
      <w:contextualSpacing/>
    </w:pPr>
    <w:rPr>
      <w:rFonts w:ascii="Gotham Book" w:hAnsi="Gotham Book"/>
    </w:rPr>
  </w:style>
  <w:style w:type="paragraph" w:styleId="Quote">
    <w:name w:val="Quote"/>
    <w:basedOn w:val="Normal"/>
    <w:next w:val="Normal"/>
    <w:link w:val="QuoteChar"/>
    <w:uiPriority w:val="29"/>
    <w:rsid w:val="00ED00B3"/>
    <w:rPr>
      <w:rFonts w:ascii="Gotham Book" w:hAnsi="Gotham Book"/>
      <w:i/>
      <w:iCs/>
    </w:rPr>
  </w:style>
  <w:style w:type="character" w:customStyle="1" w:styleId="QuoteChar">
    <w:name w:val="Quote Char"/>
    <w:basedOn w:val="DefaultParagraphFont"/>
    <w:link w:val="Quote"/>
    <w:uiPriority w:val="29"/>
    <w:rsid w:val="00ED00B3"/>
    <w:rPr>
      <w:i/>
      <w:iCs/>
      <w:color w:val="000000" w:themeColor="text1"/>
    </w:rPr>
  </w:style>
  <w:style w:type="paragraph" w:styleId="IntenseQuote">
    <w:name w:val="Intense Quote"/>
    <w:basedOn w:val="Normal"/>
    <w:next w:val="Normal"/>
    <w:link w:val="IntenseQuoteChar"/>
    <w:uiPriority w:val="30"/>
    <w:rsid w:val="00ED00B3"/>
    <w:pPr>
      <w:pBdr>
        <w:bottom w:val="single" w:sz="4" w:space="4" w:color="4F81BD" w:themeColor="accent1"/>
      </w:pBdr>
      <w:spacing w:before="200" w:after="280"/>
      <w:ind w:left="936" w:right="936"/>
    </w:pPr>
    <w:rPr>
      <w:rFonts w:ascii="Gotham Book" w:hAnsi="Gotham Book"/>
      <w:b/>
      <w:bCs/>
      <w:i/>
      <w:iCs/>
      <w:color w:val="4F81BD" w:themeColor="accent1"/>
    </w:rPr>
  </w:style>
  <w:style w:type="character" w:customStyle="1" w:styleId="IntenseQuoteChar">
    <w:name w:val="Intense Quote Char"/>
    <w:basedOn w:val="DefaultParagraphFont"/>
    <w:link w:val="IntenseQuote"/>
    <w:uiPriority w:val="30"/>
    <w:rsid w:val="00ED00B3"/>
    <w:rPr>
      <w:b/>
      <w:bCs/>
      <w:i/>
      <w:iCs/>
      <w:color w:val="4F81BD" w:themeColor="accent1"/>
    </w:rPr>
  </w:style>
  <w:style w:type="character" w:styleId="SubtleReference">
    <w:name w:val="Subtle Reference"/>
    <w:basedOn w:val="DefaultParagraphFont"/>
    <w:uiPriority w:val="31"/>
    <w:rsid w:val="00ED00B3"/>
    <w:rPr>
      <w:smallCaps/>
      <w:color w:val="C0504D" w:themeColor="accent2"/>
      <w:u w:val="single"/>
    </w:rPr>
  </w:style>
  <w:style w:type="character" w:styleId="IntenseReference">
    <w:name w:val="Intense Reference"/>
    <w:basedOn w:val="DefaultParagraphFont"/>
    <w:uiPriority w:val="32"/>
    <w:rsid w:val="00ED00B3"/>
    <w:rPr>
      <w:b/>
      <w:bCs/>
      <w:smallCaps/>
      <w:color w:val="C0504D" w:themeColor="accent2"/>
      <w:spacing w:val="5"/>
      <w:u w:val="single"/>
    </w:rPr>
  </w:style>
  <w:style w:type="character" w:styleId="BookTitle">
    <w:name w:val="Book Title"/>
    <w:basedOn w:val="DefaultParagraphFont"/>
    <w:uiPriority w:val="33"/>
    <w:rsid w:val="00ED00B3"/>
    <w:rPr>
      <w:b/>
      <w:bCs/>
      <w:smallCaps/>
      <w:spacing w:val="5"/>
    </w:rPr>
  </w:style>
  <w:style w:type="paragraph" w:styleId="TOCHeading">
    <w:name w:val="TOC Heading"/>
    <w:basedOn w:val="Heading1"/>
    <w:next w:val="Normal"/>
    <w:uiPriority w:val="39"/>
    <w:unhideWhenUsed/>
    <w:rsid w:val="00ED00B3"/>
    <w:pPr>
      <w:outlineLvl w:val="9"/>
    </w:pPr>
  </w:style>
  <w:style w:type="table" w:styleId="TableGrid">
    <w:name w:val="Table Grid"/>
    <w:basedOn w:val="TableNormal"/>
    <w:uiPriority w:val="59"/>
    <w:rsid w:val="0030164E"/>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79FF"/>
      </w:rPr>
    </w:tblStyle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9D39DF"/>
    <w:pPr>
      <w:tabs>
        <w:tab w:val="center" w:pos="4320"/>
        <w:tab w:val="right" w:pos="8640"/>
      </w:tabs>
      <w:spacing w:after="0" w:line="240" w:lineRule="auto"/>
      <w:ind w:right="-907"/>
      <w:jc w:val="right"/>
    </w:pPr>
    <w:rPr>
      <w:rFonts w:asciiTheme="minorHAnsi" w:hAnsiTheme="minorHAnsi"/>
    </w:rPr>
  </w:style>
  <w:style w:type="character" w:customStyle="1" w:styleId="HeaderChar">
    <w:name w:val="Header Char"/>
    <w:basedOn w:val="DefaultParagraphFont"/>
    <w:link w:val="Header"/>
    <w:uiPriority w:val="99"/>
    <w:rsid w:val="009D39DF"/>
    <w:rPr>
      <w:color w:val="000000" w:themeColor="text1"/>
      <w:lang w:val="en-AU"/>
    </w:rPr>
  </w:style>
  <w:style w:type="paragraph" w:styleId="Footer">
    <w:name w:val="footer"/>
    <w:basedOn w:val="Normal"/>
    <w:link w:val="FooterChar"/>
    <w:uiPriority w:val="99"/>
    <w:unhideWhenUsed/>
    <w:rsid w:val="00C54807"/>
    <w:pPr>
      <w:tabs>
        <w:tab w:val="center" w:pos="4320"/>
        <w:tab w:val="right" w:pos="8640"/>
      </w:tabs>
      <w:spacing w:after="0" w:line="240" w:lineRule="auto"/>
      <w:jc w:val="right"/>
    </w:pPr>
    <w:rPr>
      <w:rFonts w:asciiTheme="minorHAnsi" w:hAnsiTheme="minorHAnsi"/>
    </w:rPr>
  </w:style>
  <w:style w:type="character" w:customStyle="1" w:styleId="FooterChar">
    <w:name w:val="Footer Char"/>
    <w:basedOn w:val="DefaultParagraphFont"/>
    <w:link w:val="Footer"/>
    <w:uiPriority w:val="99"/>
    <w:rsid w:val="00C54807"/>
    <w:rPr>
      <w:color w:val="000000" w:themeColor="text1"/>
      <w:lang w:val="en-AU"/>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paragraph" w:customStyle="1" w:styleId="Body">
    <w:name w:val="Body"/>
    <w:rsid w:val="004C5F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TableGrid1">
    <w:name w:val="Table Grid1"/>
    <w:basedOn w:val="TableNormal"/>
    <w:next w:val="TableGrid"/>
    <w:uiPriority w:val="59"/>
    <w:rsid w:val="00EB05A8"/>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59"/>
    <w:rPr>
      <w:sz w:val="16"/>
      <w:szCs w:val="16"/>
    </w:rPr>
  </w:style>
  <w:style w:type="paragraph" w:styleId="CommentText">
    <w:name w:val="annotation text"/>
    <w:basedOn w:val="Normal"/>
    <w:link w:val="CommentTextChar"/>
    <w:uiPriority w:val="99"/>
    <w:semiHidden/>
    <w:unhideWhenUsed/>
    <w:rsid w:val="00727659"/>
    <w:pPr>
      <w:spacing w:line="240" w:lineRule="auto"/>
    </w:pPr>
    <w:rPr>
      <w:rFonts w:ascii="Gotham Book" w:hAnsi="Gotham Book"/>
      <w:sz w:val="20"/>
      <w:szCs w:val="20"/>
    </w:rPr>
  </w:style>
  <w:style w:type="character" w:customStyle="1" w:styleId="CommentTextChar">
    <w:name w:val="Comment Text Char"/>
    <w:basedOn w:val="DefaultParagraphFont"/>
    <w:link w:val="CommentText"/>
    <w:uiPriority w:val="99"/>
    <w:semiHidden/>
    <w:rsid w:val="00727659"/>
    <w:rPr>
      <w:rFonts w:ascii="Gotham Book" w:hAnsi="Gotham Book"/>
      <w:color w:val="17365D" w:themeColor="text2" w:themeShade="BF"/>
      <w:sz w:val="20"/>
      <w:szCs w:val="20"/>
    </w:rPr>
  </w:style>
  <w:style w:type="paragraph" w:styleId="CommentSubject">
    <w:name w:val="annotation subject"/>
    <w:basedOn w:val="CommentText"/>
    <w:next w:val="CommentText"/>
    <w:link w:val="CommentSubjectChar"/>
    <w:uiPriority w:val="99"/>
    <w:semiHidden/>
    <w:unhideWhenUsed/>
    <w:rsid w:val="00727659"/>
    <w:rPr>
      <w:b/>
      <w:bCs/>
    </w:rPr>
  </w:style>
  <w:style w:type="character" w:customStyle="1" w:styleId="CommentSubjectChar">
    <w:name w:val="Comment Subject Char"/>
    <w:basedOn w:val="CommentTextChar"/>
    <w:link w:val="CommentSubject"/>
    <w:uiPriority w:val="99"/>
    <w:semiHidden/>
    <w:rsid w:val="00727659"/>
    <w:rPr>
      <w:rFonts w:ascii="Gotham Book" w:hAnsi="Gotham Book"/>
      <w:b/>
      <w:bCs/>
      <w:color w:val="17365D" w:themeColor="text2" w:themeShade="BF"/>
      <w:sz w:val="20"/>
      <w:szCs w:val="20"/>
    </w:rPr>
  </w:style>
  <w:style w:type="table" w:customStyle="1" w:styleId="TableGrid2">
    <w:name w:val="Table Grid2"/>
    <w:basedOn w:val="TableNormal"/>
    <w:next w:val="TableGrid"/>
    <w:uiPriority w:val="39"/>
    <w:rsid w:val="003C0FCA"/>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5687"/>
    <w:pPr>
      <w:spacing w:after="0" w:line="240" w:lineRule="auto"/>
    </w:pPr>
    <w:rPr>
      <w:rFonts w:ascii="Gotham Book" w:hAnsi="Gotham Book"/>
      <w:sz w:val="20"/>
      <w:szCs w:val="20"/>
    </w:rPr>
  </w:style>
  <w:style w:type="character" w:customStyle="1" w:styleId="FootnoteTextChar">
    <w:name w:val="Footnote Text Char"/>
    <w:basedOn w:val="DefaultParagraphFont"/>
    <w:link w:val="FootnoteText"/>
    <w:uiPriority w:val="99"/>
    <w:semiHidden/>
    <w:rsid w:val="00A85687"/>
    <w:rPr>
      <w:rFonts w:ascii="Gotham Book" w:hAnsi="Gotham Book"/>
      <w:color w:val="17365D" w:themeColor="text2" w:themeShade="BF"/>
      <w:sz w:val="20"/>
      <w:szCs w:val="20"/>
    </w:rPr>
  </w:style>
  <w:style w:type="paragraph" w:customStyle="1" w:styleId="DVVictheme">
    <w:name w:val="DV Vic theme"/>
    <w:basedOn w:val="Normal"/>
    <w:link w:val="DVVicthemeChar"/>
    <w:rsid w:val="0058624B"/>
    <w:pPr>
      <w:jc w:val="both"/>
    </w:pPr>
    <w:rPr>
      <w:rFonts w:eastAsiaTheme="minorHAnsi"/>
      <w:color w:val="auto"/>
    </w:rPr>
  </w:style>
  <w:style w:type="character" w:customStyle="1" w:styleId="DVVicthemeChar">
    <w:name w:val="DV Vic theme Char"/>
    <w:basedOn w:val="DefaultParagraphFont"/>
    <w:link w:val="DVVictheme"/>
    <w:rsid w:val="0058624B"/>
    <w:rPr>
      <w:rFonts w:ascii="Calibri Light" w:eastAsiaTheme="minorHAnsi" w:hAnsi="Calibri Light"/>
      <w:lang w:val="en-AU"/>
    </w:rPr>
  </w:style>
  <w:style w:type="character" w:styleId="Hyperlink">
    <w:name w:val="Hyperlink"/>
    <w:basedOn w:val="DefaultParagraphFont"/>
    <w:uiPriority w:val="99"/>
    <w:unhideWhenUsed/>
    <w:rsid w:val="0051305D"/>
    <w:rPr>
      <w:color w:val="0000FF" w:themeColor="hyperlink"/>
      <w:u w:val="single"/>
    </w:rPr>
  </w:style>
  <w:style w:type="character" w:styleId="UnresolvedMention">
    <w:name w:val="Unresolved Mention"/>
    <w:basedOn w:val="DefaultParagraphFont"/>
    <w:uiPriority w:val="99"/>
    <w:semiHidden/>
    <w:unhideWhenUsed/>
    <w:rsid w:val="0051305D"/>
    <w:rPr>
      <w:color w:val="605E5C"/>
      <w:shd w:val="clear" w:color="auto" w:fill="E1DFDD"/>
    </w:rPr>
  </w:style>
  <w:style w:type="character" w:styleId="FollowedHyperlink">
    <w:name w:val="FollowedHyperlink"/>
    <w:basedOn w:val="DefaultParagraphFont"/>
    <w:uiPriority w:val="99"/>
    <w:semiHidden/>
    <w:unhideWhenUsed/>
    <w:rsid w:val="00B55D35"/>
    <w:rPr>
      <w:color w:val="800080" w:themeColor="followedHyperlink"/>
      <w:u w:val="single"/>
    </w:rPr>
  </w:style>
  <w:style w:type="paragraph" w:styleId="TOC3">
    <w:name w:val="toc 3"/>
    <w:basedOn w:val="Normal"/>
    <w:next w:val="Normal"/>
    <w:autoRedefine/>
    <w:uiPriority w:val="39"/>
    <w:unhideWhenUsed/>
    <w:rsid w:val="009160F2"/>
    <w:pPr>
      <w:spacing w:after="100"/>
      <w:ind w:left="440"/>
    </w:pPr>
  </w:style>
  <w:style w:type="paragraph" w:styleId="TOC2">
    <w:name w:val="toc 2"/>
    <w:basedOn w:val="Normal"/>
    <w:next w:val="Normal"/>
    <w:autoRedefine/>
    <w:uiPriority w:val="39"/>
    <w:unhideWhenUsed/>
    <w:rsid w:val="009160F2"/>
    <w:pPr>
      <w:spacing w:after="100"/>
      <w:ind w:left="220"/>
    </w:pPr>
  </w:style>
  <w:style w:type="character" w:customStyle="1" w:styleId="rpl-text-label">
    <w:name w:val="rpl-text-label"/>
    <w:basedOn w:val="DefaultParagraphFont"/>
    <w:rsid w:val="00BE4530"/>
  </w:style>
  <w:style w:type="character" w:customStyle="1" w:styleId="rpl-text-icongroup">
    <w:name w:val="rpl-text-icon__group"/>
    <w:basedOn w:val="DefaultParagraphFont"/>
    <w:rsid w:val="00BE4530"/>
  </w:style>
  <w:style w:type="paragraph" w:styleId="NormalWeb">
    <w:name w:val="Normal (Web)"/>
    <w:basedOn w:val="Normal"/>
    <w:uiPriority w:val="99"/>
    <w:semiHidden/>
    <w:unhideWhenUsed/>
    <w:rsid w:val="00BE453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99"/>
    <w:rsid w:val="003E04D9"/>
    <w:pPr>
      <w:spacing w:after="120" w:line="240" w:lineRule="auto"/>
    </w:pPr>
    <w:rPr>
      <w:rFonts w:ascii="Times New Roman" w:eastAsia="Times New Roman" w:hAnsi="Times New Roman" w:cs="Times New Roman"/>
      <w:color w:val="auto"/>
      <w:sz w:val="24"/>
      <w:szCs w:val="24"/>
      <w:lang w:val="en-GB"/>
    </w:rPr>
  </w:style>
  <w:style w:type="character" w:customStyle="1" w:styleId="BodyTextChar">
    <w:name w:val="Body Text Char"/>
    <w:basedOn w:val="DefaultParagraphFont"/>
    <w:link w:val="BodyText"/>
    <w:uiPriority w:val="99"/>
    <w:rsid w:val="003E04D9"/>
    <w:rPr>
      <w:rFonts w:ascii="Times New Roman" w:eastAsia="Times New Roman" w:hAnsi="Times New Roman" w:cs="Times New Roman"/>
      <w:sz w:val="24"/>
      <w:szCs w:val="24"/>
      <w:lang w:val="en-GB"/>
    </w:rPr>
  </w:style>
  <w:style w:type="paragraph" w:customStyle="1" w:styleId="Bulletpoint">
    <w:name w:val="Bullet point"/>
    <w:basedOn w:val="ListBullet"/>
    <w:link w:val="BulletpointChar"/>
    <w:autoRedefine/>
    <w:qFormat/>
    <w:rsid w:val="00972490"/>
    <w:pPr>
      <w:numPr>
        <w:numId w:val="17"/>
      </w:numPr>
      <w:ind w:left="357" w:hanging="357"/>
    </w:pPr>
    <w:rPr>
      <w:color w:val="auto"/>
    </w:rPr>
  </w:style>
  <w:style w:type="paragraph" w:styleId="TOC4">
    <w:name w:val="toc 4"/>
    <w:basedOn w:val="Normal"/>
    <w:next w:val="Normal"/>
    <w:autoRedefine/>
    <w:uiPriority w:val="39"/>
    <w:semiHidden/>
    <w:unhideWhenUsed/>
    <w:rsid w:val="009160F2"/>
    <w:pPr>
      <w:spacing w:after="100"/>
      <w:ind w:left="660"/>
    </w:pPr>
    <w:rPr>
      <w:color w:val="auto"/>
    </w:rPr>
  </w:style>
  <w:style w:type="table" w:styleId="PlainTable3">
    <w:name w:val="Plain Table 3"/>
    <w:basedOn w:val="TableNormal"/>
    <w:uiPriority w:val="43"/>
    <w:rsid w:val="00121F24"/>
    <w:pPr>
      <w:spacing w:after="0" w:line="240" w:lineRule="auto"/>
    </w:pPr>
    <w:rPr>
      <w:color w:val="FF79FF"/>
    </w:rPr>
    <w:tblPr>
      <w:tblStyleRowBandSize w:val="1"/>
      <w:tblStyleColBandSize w:val="1"/>
    </w:tblPr>
    <w:tcPr>
      <w:shd w:val="clear" w:color="33B9FF"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rsid w:val="00D039E2"/>
    <w:rPr>
      <w:rFonts w:ascii="Gotham Book" w:hAnsi="Gotham Book"/>
      <w:color w:val="000000" w:themeColor="text1"/>
      <w:lang w:val="en-AU"/>
    </w:rPr>
  </w:style>
  <w:style w:type="character" w:customStyle="1" w:styleId="BulletpointChar">
    <w:name w:val="Bullet point Char"/>
    <w:basedOn w:val="ListParagraphChar"/>
    <w:link w:val="Bulletpoint"/>
    <w:rsid w:val="00972490"/>
    <w:rPr>
      <w:rFonts w:ascii="Arial" w:hAnsi="Arial"/>
      <w:color w:val="000000" w:themeColor="text1"/>
      <w:lang w:val="en-AU"/>
    </w:rPr>
  </w:style>
  <w:style w:type="table" w:styleId="GridTable2-Accent1">
    <w:name w:val="Grid Table 2 Accent 1"/>
    <w:basedOn w:val="TableNormal"/>
    <w:uiPriority w:val="47"/>
    <w:rsid w:val="00121F24"/>
    <w:pPr>
      <w:spacing w:after="0" w:line="240" w:lineRule="auto"/>
    </w:pPr>
    <w:tblPr>
      <w:tblStyleRowBandSize w:val="1"/>
      <w:tblStyleColBandSize w:val="1"/>
      <w:tblBorders>
        <w:top w:val="single" w:sz="8" w:space="0" w:color="FF79FF"/>
        <w:bottom w:val="single" w:sz="8" w:space="0" w:color="FF79FF"/>
        <w:insideH w:val="single" w:sz="8" w:space="0" w:color="FF79FF"/>
        <w:insideV w:val="single" w:sz="8" w:space="0" w:color="FF79FF"/>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9D7A60"/>
    <w:pPr>
      <w:spacing w:after="0" w:line="240" w:lineRule="auto"/>
    </w:pPr>
    <w:rPr>
      <w:rFonts w:ascii="DM Sans" w:hAnsi="DM Sans"/>
      <w:color w:val="000000" w:themeColor="text1"/>
    </w:rPr>
    <w:tblPr>
      <w:tblStyleRowBandSize w:val="1"/>
      <w:tblStyleColBandSize w:val="1"/>
    </w:tblPr>
    <w:tblStylePr w:type="firstRow">
      <w:pPr>
        <w:wordWrap/>
        <w:spacing w:afterLines="0" w:after="120" w:afterAutospacing="0"/>
      </w:pPr>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
    <w:name w:val="Footnotes"/>
    <w:basedOn w:val="FootnoteText"/>
    <w:link w:val="FootnotesChar"/>
    <w:uiPriority w:val="99"/>
    <w:qFormat/>
    <w:rsid w:val="00724423"/>
    <w:pPr>
      <w:spacing w:after="80"/>
      <w:ind w:left="340" w:hanging="340"/>
    </w:pPr>
    <w:rPr>
      <w:rFonts w:ascii="Arial" w:hAnsi="Arial" w:cs="Calibri Light"/>
      <w:sz w:val="16"/>
      <w:szCs w:val="16"/>
    </w:rPr>
  </w:style>
  <w:style w:type="table" w:customStyle="1" w:styleId="PinkRowTableStyle">
    <w:name w:val="Pink Row Table Style"/>
    <w:basedOn w:val="TableNormal"/>
    <w:uiPriority w:val="99"/>
    <w:rsid w:val="009F55E4"/>
    <w:pPr>
      <w:spacing w:before="80" w:after="80" w:line="240" w:lineRule="auto"/>
    </w:p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pct25" w:color="FF79FF" w:fill="FF79FF"/>
      </w:tcPr>
    </w:tblStylePr>
    <w:tblStylePr w:type="band1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clear" w:color="auto" w:fill="FFE4FF"/>
      </w:tcPr>
    </w:tblStylePr>
  </w:style>
  <w:style w:type="table" w:styleId="ListTable6Colorful-Accent4">
    <w:name w:val="List Table 6 Colorful Accent 4"/>
    <w:basedOn w:val="TableNormal"/>
    <w:uiPriority w:val="51"/>
    <w:rsid w:val="00F414C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Columns4">
    <w:name w:val="Table Columns 4"/>
    <w:basedOn w:val="TableNormal"/>
    <w:uiPriority w:val="99"/>
    <w:semiHidden/>
    <w:unhideWhenUsed/>
    <w:rsid w:val="00D37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PinkColumnTable">
    <w:name w:val="Pink Column Table"/>
    <w:basedOn w:val="TableColumns4"/>
    <w:uiPriority w:val="99"/>
    <w:rsid w:val="008453F3"/>
    <w:pPr>
      <w:spacing w:after="0" w:line="240" w:lineRule="auto"/>
    </w:pPr>
    <w:rPr>
      <w:rFonts w:ascii="Arial" w:hAnsi="Arial"/>
    </w:r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rPr>
        <w:color w:val="FFFFFF"/>
      </w:rPr>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FFFFFF"/>
      </w:tcPr>
    </w:tblStylePr>
    <w:tblStylePr w:type="lastRow">
      <w:rPr>
        <w:b/>
        <w:bCs/>
      </w:rPr>
      <w:tblPr/>
      <w:tcPr>
        <w:tcBorders>
          <w:tl2br w:val="none" w:sz="0" w:space="0" w:color="auto"/>
          <w:tr2bl w:val="none" w:sz="0" w:space="0" w:color="auto"/>
        </w:tcBorders>
      </w:tcPr>
    </w:tblStylePr>
    <w:tblStylePr w:type="firstCol">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solid" w:color="FFD7FF" w:fill="auto"/>
      </w:tcPr>
    </w:tblStylePr>
    <w:tblStylePr w:type="lastCol">
      <w:rPr>
        <w:b/>
        <w:bCs/>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tcPr>
    </w:tblStylePr>
    <w:tblStylePr w:type="band1Vert">
      <w:rPr>
        <w:color w:val="auto"/>
      </w:rPr>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clear" w:color="008080" w:fill="FFFFFF"/>
      </w:tcPr>
    </w:tblStylePr>
    <w:tblStylePr w:type="band2Vert">
      <w:rPr>
        <w:color w:val="auto"/>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shd w:val="solid" w:color="FFD7FF" w:fill="FFFFFF"/>
      </w:tcPr>
    </w:tblStylePr>
    <w:tblStylePr w:type="band1Horz">
      <w:tblPr/>
      <w:tcPr>
        <w:tcBorders>
          <w:top w:val="single" w:sz="8" w:space="0" w:color="FF79FF"/>
          <w:left w:val="single" w:sz="8" w:space="0" w:color="FF79FF"/>
          <w:bottom w:val="single" w:sz="8" w:space="0" w:color="FF79FF"/>
          <w:right w:val="single" w:sz="8" w:space="0" w:color="FF79FF"/>
          <w:insideH w:val="single" w:sz="6" w:space="0" w:color="FF79FF"/>
          <w:insideV w:val="single" w:sz="6"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auto"/>
      </w:tcPr>
    </w:tblStylePr>
  </w:style>
  <w:style w:type="character" w:customStyle="1" w:styleId="FootnotesChar">
    <w:name w:val="Footnotes Char"/>
    <w:basedOn w:val="FootnoteTextChar"/>
    <w:link w:val="Footnotes"/>
    <w:uiPriority w:val="99"/>
    <w:rsid w:val="00724423"/>
    <w:rPr>
      <w:rFonts w:ascii="Arial" w:hAnsi="Arial" w:cs="Calibri Light"/>
      <w:color w:val="000000" w:themeColor="text1"/>
      <w:sz w:val="16"/>
      <w:szCs w:val="16"/>
      <w:lang w:val="en-AU"/>
    </w:rPr>
  </w:style>
  <w:style w:type="paragraph" w:styleId="ListBullet">
    <w:name w:val="List Bullet"/>
    <w:basedOn w:val="Normal"/>
    <w:uiPriority w:val="99"/>
    <w:unhideWhenUsed/>
    <w:rsid w:val="008E3D55"/>
    <w:pPr>
      <w:numPr>
        <w:numId w:val="1"/>
      </w:numPr>
      <w:contextualSpacing/>
    </w:pPr>
  </w:style>
  <w:style w:type="paragraph" w:customStyle="1" w:styleId="NumberedListStyle">
    <w:name w:val="Numbered List Style"/>
    <w:basedOn w:val="Bulletpoint"/>
    <w:link w:val="NumberedListStyleChar"/>
    <w:qFormat/>
    <w:rsid w:val="009C282B"/>
    <w:pPr>
      <w:numPr>
        <w:numId w:val="2"/>
      </w:numPr>
    </w:pPr>
  </w:style>
  <w:style w:type="numbering" w:customStyle="1" w:styleId="Style1">
    <w:name w:val="Style1"/>
    <w:uiPriority w:val="99"/>
    <w:rsid w:val="00263AA1"/>
    <w:pPr>
      <w:numPr>
        <w:numId w:val="3"/>
      </w:numPr>
    </w:pPr>
  </w:style>
  <w:style w:type="character" w:customStyle="1" w:styleId="NumberedListStyleChar">
    <w:name w:val="Numbered List Style Char"/>
    <w:basedOn w:val="BulletpointChar"/>
    <w:link w:val="NumberedListStyle"/>
    <w:rsid w:val="009C282B"/>
    <w:rPr>
      <w:rFonts w:ascii="Arial" w:hAnsi="Arial"/>
      <w:color w:val="000000" w:themeColor="text1"/>
      <w:sz w:val="20"/>
      <w:lang w:val="en-AU"/>
    </w:rPr>
  </w:style>
  <w:style w:type="numbering" w:customStyle="1" w:styleId="Style2">
    <w:name w:val="Style2"/>
    <w:uiPriority w:val="99"/>
    <w:rsid w:val="00263AA1"/>
    <w:pPr>
      <w:numPr>
        <w:numId w:val="4"/>
      </w:numPr>
    </w:pPr>
  </w:style>
  <w:style w:type="numbering" w:customStyle="1" w:styleId="Style3">
    <w:name w:val="Style3"/>
    <w:uiPriority w:val="99"/>
    <w:rsid w:val="00263AA1"/>
    <w:pPr>
      <w:numPr>
        <w:numId w:val="6"/>
      </w:numPr>
    </w:pPr>
  </w:style>
  <w:style w:type="numbering" w:customStyle="1" w:styleId="Style4">
    <w:name w:val="Style4"/>
    <w:uiPriority w:val="99"/>
    <w:rsid w:val="00FB2D80"/>
    <w:pPr>
      <w:numPr>
        <w:numId w:val="8"/>
      </w:numPr>
    </w:pPr>
  </w:style>
  <w:style w:type="numbering" w:customStyle="1" w:styleId="Style5">
    <w:name w:val="Style5"/>
    <w:uiPriority w:val="99"/>
    <w:rsid w:val="001055EB"/>
    <w:pPr>
      <w:numPr>
        <w:numId w:val="20"/>
      </w:numPr>
    </w:pPr>
  </w:style>
  <w:style w:type="paragraph" w:customStyle="1" w:styleId="BodyTextHighlight">
    <w:name w:val="Body Text Highlight"/>
    <w:basedOn w:val="BodyText"/>
    <w:qFormat/>
    <w:rsid w:val="00D53D0B"/>
    <w:pPr>
      <w:keepLines/>
      <w:suppressAutoHyphens/>
      <w:spacing w:before="400" w:after="400" w:line="288" w:lineRule="auto"/>
      <w:ind w:right="3402"/>
    </w:pPr>
    <w:rPr>
      <w:rFonts w:asciiTheme="minorHAnsi" w:eastAsiaTheme="minorEastAsia" w:hAnsiTheme="minorHAnsi" w:cstheme="minorBidi"/>
      <w:color w:val="7800FF"/>
      <w:sz w:val="36"/>
      <w:szCs w:val="36"/>
      <w:lang w:val="en-AU" w:eastAsia="en-AU"/>
    </w:rPr>
  </w:style>
  <w:style w:type="paragraph" w:customStyle="1" w:styleId="BodyTextHighlightfullwidth">
    <w:name w:val="Body Text Highlight full width"/>
    <w:basedOn w:val="BodyTextHighlight"/>
    <w:qFormat/>
    <w:rsid w:val="00EE34F9"/>
    <w:pPr>
      <w:pBdr>
        <w:top w:val="single" w:sz="12" w:space="4" w:color="FF79FF"/>
        <w:bottom w:val="single" w:sz="12" w:space="4" w:color="FF79FF"/>
      </w:pBdr>
      <w:spacing w:before="200" w:after="200"/>
      <w:ind w:right="0"/>
    </w:pPr>
    <w:rPr>
      <w:color w:val="auto"/>
      <w:sz w:val="26"/>
      <w:szCs w:val="30"/>
    </w:rPr>
  </w:style>
  <w:style w:type="paragraph" w:customStyle="1" w:styleId="Source">
    <w:name w:val="Source"/>
    <w:basedOn w:val="BodyText"/>
    <w:qFormat/>
    <w:rsid w:val="00F13E97"/>
    <w:pPr>
      <w:suppressAutoHyphens/>
      <w:spacing w:before="120" w:line="288" w:lineRule="auto"/>
    </w:pPr>
    <w:rPr>
      <w:rFonts w:asciiTheme="minorHAnsi" w:eastAsiaTheme="minorEastAsia" w:hAnsiTheme="minorHAnsi" w:cstheme="minorBidi"/>
      <w:sz w:val="19"/>
      <w:szCs w:val="19"/>
      <w:lang w:val="en-AU" w:eastAsia="en-AU"/>
    </w:rPr>
  </w:style>
  <w:style w:type="paragraph" w:customStyle="1" w:styleId="BodyText13ptruleabove">
    <w:name w:val="Body Text 13pt rule above"/>
    <w:basedOn w:val="BodyText"/>
    <w:qFormat/>
    <w:rsid w:val="00D53D0B"/>
    <w:pPr>
      <w:pBdr>
        <w:top w:val="single" w:sz="12" w:space="6" w:color="FF79FF"/>
      </w:pBdr>
      <w:suppressAutoHyphens/>
      <w:spacing w:before="200" w:line="288" w:lineRule="auto"/>
    </w:pPr>
    <w:rPr>
      <w:rFonts w:asciiTheme="minorHAnsi" w:eastAsiaTheme="minorEastAsia" w:hAnsiTheme="minorHAnsi" w:cstheme="minorBidi"/>
      <w:sz w:val="26"/>
      <w:szCs w:val="26"/>
      <w:lang w:val="en-AU" w:eastAsia="en-AU"/>
    </w:rPr>
  </w:style>
  <w:style w:type="paragraph" w:customStyle="1" w:styleId="BodyText13pt">
    <w:name w:val="Body Text 13pt"/>
    <w:basedOn w:val="BodyText"/>
    <w:qFormat/>
    <w:rsid w:val="00971ED9"/>
    <w:pPr>
      <w:suppressAutoHyphens/>
      <w:spacing w:before="120" w:line="288" w:lineRule="auto"/>
    </w:pPr>
    <w:rPr>
      <w:rFonts w:asciiTheme="minorHAnsi" w:eastAsiaTheme="minorEastAsia" w:hAnsiTheme="minorHAnsi" w:cstheme="minorBidi"/>
      <w:sz w:val="26"/>
      <w:szCs w:val="26"/>
      <w:lang w:val="en-AU" w:eastAsia="en-AU"/>
    </w:rPr>
  </w:style>
  <w:style w:type="paragraph" w:customStyle="1" w:styleId="ListBullet13pt">
    <w:name w:val="List Bullet 13pt"/>
    <w:basedOn w:val="ListBullet"/>
    <w:qFormat/>
    <w:rsid w:val="00971ED9"/>
    <w:pPr>
      <w:numPr>
        <w:numId w:val="25"/>
      </w:numPr>
      <w:suppressAutoHyphens/>
      <w:spacing w:after="60" w:line="288" w:lineRule="auto"/>
      <w:contextualSpacing w:val="0"/>
    </w:pPr>
    <w:rPr>
      <w:rFonts w:asciiTheme="minorHAnsi" w:hAnsiTheme="minorHAnsi"/>
      <w:color w:val="auto"/>
      <w:sz w:val="26"/>
      <w:szCs w:val="26"/>
      <w:lang w:eastAsia="en-AU"/>
    </w:rPr>
  </w:style>
  <w:style w:type="numbering" w:customStyle="1" w:styleId="ZZListBullet13ptList">
    <w:name w:val="ZZ List Bullet 13pt (List)"/>
    <w:uiPriority w:val="99"/>
    <w:rsid w:val="00D52D20"/>
    <w:pPr>
      <w:numPr>
        <w:numId w:val="24"/>
      </w:numPr>
    </w:pPr>
  </w:style>
  <w:style w:type="numbering" w:customStyle="1" w:styleId="ListBullet13ptliststyle">
    <w:name w:val="List Bullet 13pt list style"/>
    <w:basedOn w:val="NoList"/>
    <w:uiPriority w:val="99"/>
    <w:rsid w:val="006B6B6E"/>
    <w:pPr>
      <w:numPr>
        <w:numId w:val="25"/>
      </w:numPr>
    </w:pPr>
  </w:style>
  <w:style w:type="paragraph" w:customStyle="1" w:styleId="Logooncover">
    <w:name w:val="Logo on cover"/>
    <w:basedOn w:val="Normal"/>
    <w:rsid w:val="004118FA"/>
    <w:pPr>
      <w:spacing w:after="3400"/>
      <w:jc w:val="right"/>
    </w:pPr>
  </w:style>
  <w:style w:type="paragraph" w:customStyle="1" w:styleId="H1Header">
    <w:name w:val="H1 Header"/>
    <w:basedOn w:val="Normal"/>
    <w:uiPriority w:val="99"/>
    <w:rsid w:val="005B21BB"/>
    <w:pPr>
      <w:widowControl w:val="0"/>
      <w:pBdr>
        <w:bottom w:val="single" w:sz="40" w:space="5" w:color="FF79FF"/>
      </w:pBdr>
      <w:suppressAutoHyphens/>
      <w:autoSpaceDE w:val="0"/>
      <w:autoSpaceDN w:val="0"/>
      <w:adjustRightInd w:val="0"/>
      <w:spacing w:after="1474" w:line="780" w:lineRule="atLeast"/>
      <w:textAlignment w:val="center"/>
    </w:pPr>
    <w:rPr>
      <w:rFonts w:ascii="HeadlineGothicATF" w:hAnsi="HeadlineGothicATF" w:cs="HeadlineGothicATF"/>
      <w:color w:val="000000"/>
      <w:sz w:val="80"/>
      <w:szCs w:val="80"/>
      <w:lang w:val="en-US" w:eastAsia="en-AU"/>
    </w:rPr>
  </w:style>
  <w:style w:type="paragraph" w:customStyle="1" w:styleId="Emphasistextwstroke">
    <w:name w:val="Emphasis text w stroke"/>
    <w:basedOn w:val="Normal"/>
    <w:uiPriority w:val="99"/>
    <w:rsid w:val="005B21BB"/>
    <w:pPr>
      <w:widowControl w:val="0"/>
      <w:pBdr>
        <w:top w:val="single" w:sz="16" w:space="14" w:color="FF79FF"/>
        <w:bottom w:val="single" w:sz="16" w:space="8" w:color="FF79FF"/>
      </w:pBdr>
      <w:suppressAutoHyphens/>
      <w:autoSpaceDE w:val="0"/>
      <w:autoSpaceDN w:val="0"/>
      <w:adjustRightInd w:val="0"/>
      <w:spacing w:before="170" w:after="283" w:line="288" w:lineRule="auto"/>
      <w:textAlignment w:val="center"/>
    </w:pPr>
    <w:rPr>
      <w:rFonts w:ascii="DMSans-Regular" w:hAnsi="DMSans-Regular" w:cs="DMSans-Regular"/>
      <w:color w:val="000000"/>
      <w:sz w:val="21"/>
      <w:szCs w:val="21"/>
      <w:lang w:val="en-US" w:eastAsia="en-AU"/>
    </w:rPr>
  </w:style>
  <w:style w:type="paragraph" w:customStyle="1" w:styleId="References">
    <w:name w:val="References"/>
    <w:basedOn w:val="Footnotes"/>
    <w:uiPriority w:val="99"/>
    <w:rsid w:val="005B21BB"/>
    <w:pPr>
      <w:widowControl w:val="0"/>
      <w:tabs>
        <w:tab w:val="left" w:pos="227"/>
      </w:tabs>
      <w:suppressAutoHyphens/>
      <w:autoSpaceDE w:val="0"/>
      <w:autoSpaceDN w:val="0"/>
      <w:adjustRightInd w:val="0"/>
      <w:spacing w:before="113" w:after="113" w:line="288" w:lineRule="auto"/>
      <w:jc w:val="right"/>
      <w:textAlignment w:val="center"/>
    </w:pPr>
    <w:rPr>
      <w:rFonts w:ascii="DMSans-Regular" w:hAnsi="DMSans-Regular" w:cs="DMSans-Regular"/>
      <w:color w:val="000000"/>
      <w:sz w:val="14"/>
      <w:szCs w:val="14"/>
      <w:lang w:val="en-US" w:eastAsia="en-AU"/>
    </w:rPr>
  </w:style>
  <w:style w:type="paragraph" w:customStyle="1" w:styleId="Introtextspanning">
    <w:name w:val="Intro text spanning"/>
    <w:basedOn w:val="Normal"/>
    <w:uiPriority w:val="99"/>
    <w:rsid w:val="00EE34F9"/>
    <w:pPr>
      <w:widowControl w:val="0"/>
      <w:suppressAutoHyphens/>
      <w:autoSpaceDE w:val="0"/>
      <w:autoSpaceDN w:val="0"/>
      <w:adjustRightInd w:val="0"/>
      <w:spacing w:after="113" w:line="288" w:lineRule="auto"/>
      <w:textAlignment w:val="center"/>
    </w:pPr>
    <w:rPr>
      <w:rFonts w:ascii="DMSans-Regular" w:hAnsi="DMSans-Regular" w:cs="DMSans-Regular"/>
      <w:color w:val="000000"/>
      <w:sz w:val="21"/>
      <w:szCs w:val="21"/>
      <w:lang w:val="en-US" w:eastAsia="en-AU"/>
    </w:rPr>
  </w:style>
  <w:style w:type="paragraph" w:customStyle="1" w:styleId="H3Smallsub">
    <w:name w:val="H3 Small sub"/>
    <w:basedOn w:val="Normal"/>
    <w:uiPriority w:val="99"/>
    <w:rsid w:val="00EE34F9"/>
    <w:pPr>
      <w:widowControl w:val="0"/>
      <w:suppressAutoHyphens/>
      <w:autoSpaceDE w:val="0"/>
      <w:autoSpaceDN w:val="0"/>
      <w:adjustRightInd w:val="0"/>
      <w:spacing w:after="28" w:line="288" w:lineRule="auto"/>
      <w:textAlignment w:val="center"/>
    </w:pPr>
    <w:rPr>
      <w:rFonts w:ascii="DMSans-Bold" w:hAnsi="DMSans-Bold" w:cs="DMSans-Bold"/>
      <w:b/>
      <w:bCs/>
      <w:color w:val="000000"/>
      <w:sz w:val="23"/>
      <w:szCs w:val="23"/>
      <w:lang w:val="en-US" w:eastAsia="en-AU"/>
    </w:rPr>
  </w:style>
  <w:style w:type="paragraph" w:styleId="Revision">
    <w:name w:val="Revision"/>
    <w:hidden/>
    <w:uiPriority w:val="99"/>
    <w:semiHidden/>
    <w:rsid w:val="007C08EF"/>
    <w:pPr>
      <w:spacing w:after="0" w:line="240" w:lineRule="auto"/>
    </w:pPr>
    <w:rPr>
      <w:rFonts w:ascii="Arial" w:hAnsi="Arial"/>
      <w:color w:val="000000" w:themeColor="tex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319">
      <w:bodyDiv w:val="1"/>
      <w:marLeft w:val="0"/>
      <w:marRight w:val="0"/>
      <w:marTop w:val="0"/>
      <w:marBottom w:val="0"/>
      <w:divBdr>
        <w:top w:val="none" w:sz="0" w:space="0" w:color="auto"/>
        <w:left w:val="none" w:sz="0" w:space="0" w:color="auto"/>
        <w:bottom w:val="none" w:sz="0" w:space="0" w:color="auto"/>
        <w:right w:val="none" w:sz="0" w:space="0" w:color="auto"/>
      </w:divBdr>
    </w:div>
    <w:div w:id="191722985">
      <w:bodyDiv w:val="1"/>
      <w:marLeft w:val="0"/>
      <w:marRight w:val="0"/>
      <w:marTop w:val="0"/>
      <w:marBottom w:val="0"/>
      <w:divBdr>
        <w:top w:val="none" w:sz="0" w:space="0" w:color="auto"/>
        <w:left w:val="none" w:sz="0" w:space="0" w:color="auto"/>
        <w:bottom w:val="none" w:sz="0" w:space="0" w:color="auto"/>
        <w:right w:val="none" w:sz="0" w:space="0" w:color="auto"/>
      </w:divBdr>
    </w:div>
    <w:div w:id="514729557">
      <w:bodyDiv w:val="1"/>
      <w:marLeft w:val="0"/>
      <w:marRight w:val="0"/>
      <w:marTop w:val="0"/>
      <w:marBottom w:val="0"/>
      <w:divBdr>
        <w:top w:val="none" w:sz="0" w:space="0" w:color="auto"/>
        <w:left w:val="none" w:sz="0" w:space="0" w:color="auto"/>
        <w:bottom w:val="none" w:sz="0" w:space="0" w:color="auto"/>
        <w:right w:val="none" w:sz="0" w:space="0" w:color="auto"/>
      </w:divBdr>
    </w:div>
    <w:div w:id="570775359">
      <w:bodyDiv w:val="1"/>
      <w:marLeft w:val="0"/>
      <w:marRight w:val="0"/>
      <w:marTop w:val="0"/>
      <w:marBottom w:val="0"/>
      <w:divBdr>
        <w:top w:val="none" w:sz="0" w:space="0" w:color="auto"/>
        <w:left w:val="none" w:sz="0" w:space="0" w:color="auto"/>
        <w:bottom w:val="none" w:sz="0" w:space="0" w:color="auto"/>
        <w:right w:val="none" w:sz="0" w:space="0" w:color="auto"/>
      </w:divBdr>
      <w:divsChild>
        <w:div w:id="806362902">
          <w:marLeft w:val="0"/>
          <w:marRight w:val="0"/>
          <w:marTop w:val="0"/>
          <w:marBottom w:val="0"/>
          <w:divBdr>
            <w:top w:val="none" w:sz="0" w:space="0" w:color="auto"/>
            <w:left w:val="none" w:sz="0" w:space="0" w:color="auto"/>
            <w:bottom w:val="none" w:sz="0" w:space="0" w:color="auto"/>
            <w:right w:val="none" w:sz="0" w:space="0" w:color="auto"/>
          </w:divBdr>
          <w:divsChild>
            <w:div w:id="851454286">
              <w:marLeft w:val="0"/>
              <w:marRight w:val="0"/>
              <w:marTop w:val="0"/>
              <w:marBottom w:val="0"/>
              <w:divBdr>
                <w:top w:val="none" w:sz="0" w:space="0" w:color="auto"/>
                <w:left w:val="none" w:sz="0" w:space="0" w:color="auto"/>
                <w:bottom w:val="none" w:sz="0" w:space="0" w:color="auto"/>
                <w:right w:val="none" w:sz="0" w:space="0" w:color="auto"/>
              </w:divBdr>
              <w:divsChild>
                <w:div w:id="171459063">
                  <w:marLeft w:val="0"/>
                  <w:marRight w:val="0"/>
                  <w:marTop w:val="0"/>
                  <w:marBottom w:val="0"/>
                  <w:divBdr>
                    <w:top w:val="none" w:sz="0" w:space="0" w:color="auto"/>
                    <w:left w:val="none" w:sz="0" w:space="0" w:color="auto"/>
                    <w:bottom w:val="none" w:sz="0" w:space="0" w:color="auto"/>
                    <w:right w:val="none" w:sz="0" w:space="0" w:color="auto"/>
                  </w:divBdr>
                  <w:divsChild>
                    <w:div w:id="637150918">
                      <w:marLeft w:val="0"/>
                      <w:marRight w:val="0"/>
                      <w:marTop w:val="0"/>
                      <w:marBottom w:val="525"/>
                      <w:divBdr>
                        <w:top w:val="none" w:sz="0" w:space="0" w:color="auto"/>
                        <w:left w:val="none" w:sz="0" w:space="0" w:color="auto"/>
                        <w:bottom w:val="none" w:sz="0" w:space="0" w:color="auto"/>
                        <w:right w:val="none" w:sz="0" w:space="0" w:color="auto"/>
                      </w:divBdr>
                      <w:divsChild>
                        <w:div w:id="1093815652">
                          <w:marLeft w:val="0"/>
                          <w:marRight w:val="0"/>
                          <w:marTop w:val="0"/>
                          <w:marBottom w:val="0"/>
                          <w:divBdr>
                            <w:top w:val="none" w:sz="0" w:space="0" w:color="auto"/>
                            <w:left w:val="none" w:sz="0" w:space="0" w:color="auto"/>
                            <w:bottom w:val="none" w:sz="0" w:space="0" w:color="auto"/>
                            <w:right w:val="none" w:sz="0" w:space="0" w:color="auto"/>
                          </w:divBdr>
                        </w:div>
                      </w:divsChild>
                    </w:div>
                    <w:div w:id="1877156074">
                      <w:marLeft w:val="0"/>
                      <w:marRight w:val="0"/>
                      <w:marTop w:val="435"/>
                      <w:marBottom w:val="75"/>
                      <w:divBdr>
                        <w:top w:val="none" w:sz="0" w:space="0" w:color="auto"/>
                        <w:left w:val="none" w:sz="0" w:space="0" w:color="auto"/>
                        <w:bottom w:val="none" w:sz="0" w:space="0" w:color="auto"/>
                        <w:right w:val="none" w:sz="0" w:space="0" w:color="auto"/>
                      </w:divBdr>
                      <w:divsChild>
                        <w:div w:id="2024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653955">
          <w:marLeft w:val="0"/>
          <w:marRight w:val="0"/>
          <w:marTop w:val="0"/>
          <w:marBottom w:val="0"/>
          <w:divBdr>
            <w:top w:val="none" w:sz="0" w:space="0" w:color="auto"/>
            <w:left w:val="none" w:sz="0" w:space="0" w:color="auto"/>
            <w:bottom w:val="none" w:sz="0" w:space="0" w:color="auto"/>
            <w:right w:val="none" w:sz="0" w:space="0" w:color="auto"/>
          </w:divBdr>
          <w:divsChild>
            <w:div w:id="114326635">
              <w:marLeft w:val="0"/>
              <w:marRight w:val="0"/>
              <w:marTop w:val="0"/>
              <w:marBottom w:val="0"/>
              <w:divBdr>
                <w:top w:val="none" w:sz="0" w:space="0" w:color="auto"/>
                <w:left w:val="none" w:sz="0" w:space="0" w:color="auto"/>
                <w:bottom w:val="none" w:sz="0" w:space="0" w:color="auto"/>
                <w:right w:val="none" w:sz="0" w:space="0" w:color="auto"/>
              </w:divBdr>
              <w:divsChild>
                <w:div w:id="341015180">
                  <w:marLeft w:val="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165"/>
                      <w:marBottom w:val="90"/>
                      <w:divBdr>
                        <w:top w:val="none" w:sz="0" w:space="0" w:color="auto"/>
                        <w:left w:val="none" w:sz="0" w:space="0" w:color="auto"/>
                        <w:bottom w:val="none" w:sz="0" w:space="0" w:color="auto"/>
                        <w:right w:val="none" w:sz="0" w:space="0" w:color="auto"/>
                      </w:divBdr>
                      <w:divsChild>
                        <w:div w:id="1796290282">
                          <w:marLeft w:val="0"/>
                          <w:marRight w:val="0"/>
                          <w:marTop w:val="0"/>
                          <w:marBottom w:val="0"/>
                          <w:divBdr>
                            <w:top w:val="none" w:sz="0" w:space="0" w:color="auto"/>
                            <w:left w:val="none" w:sz="0" w:space="0" w:color="auto"/>
                            <w:bottom w:val="none" w:sz="0" w:space="0" w:color="auto"/>
                            <w:right w:val="none" w:sz="0" w:space="0" w:color="auto"/>
                          </w:divBdr>
                        </w:div>
                      </w:divsChild>
                    </w:div>
                    <w:div w:id="1476992052">
                      <w:marLeft w:val="0"/>
                      <w:marRight w:val="0"/>
                      <w:marTop w:val="0"/>
                      <w:marBottom w:val="525"/>
                      <w:divBdr>
                        <w:top w:val="none" w:sz="0" w:space="0" w:color="auto"/>
                        <w:left w:val="none" w:sz="0" w:space="0" w:color="auto"/>
                        <w:bottom w:val="none" w:sz="0" w:space="0" w:color="auto"/>
                        <w:right w:val="none" w:sz="0" w:space="0" w:color="auto"/>
                      </w:divBdr>
                      <w:divsChild>
                        <w:div w:id="1529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4785">
      <w:bodyDiv w:val="1"/>
      <w:marLeft w:val="0"/>
      <w:marRight w:val="0"/>
      <w:marTop w:val="0"/>
      <w:marBottom w:val="0"/>
      <w:divBdr>
        <w:top w:val="none" w:sz="0" w:space="0" w:color="auto"/>
        <w:left w:val="none" w:sz="0" w:space="0" w:color="auto"/>
        <w:bottom w:val="none" w:sz="0" w:space="0" w:color="auto"/>
        <w:right w:val="none" w:sz="0" w:space="0" w:color="auto"/>
      </w:divBdr>
    </w:div>
    <w:div w:id="779566877">
      <w:bodyDiv w:val="1"/>
      <w:marLeft w:val="0"/>
      <w:marRight w:val="0"/>
      <w:marTop w:val="0"/>
      <w:marBottom w:val="0"/>
      <w:divBdr>
        <w:top w:val="none" w:sz="0" w:space="0" w:color="auto"/>
        <w:left w:val="none" w:sz="0" w:space="0" w:color="auto"/>
        <w:bottom w:val="none" w:sz="0" w:space="0" w:color="auto"/>
        <w:right w:val="none" w:sz="0" w:space="0" w:color="auto"/>
      </w:divBdr>
      <w:divsChild>
        <w:div w:id="1229338299">
          <w:marLeft w:val="0"/>
          <w:marRight w:val="0"/>
          <w:marTop w:val="0"/>
          <w:marBottom w:val="0"/>
          <w:divBdr>
            <w:top w:val="none" w:sz="0" w:space="0" w:color="auto"/>
            <w:left w:val="none" w:sz="0" w:space="0" w:color="auto"/>
            <w:bottom w:val="none" w:sz="0" w:space="0" w:color="auto"/>
            <w:right w:val="none" w:sz="0" w:space="0" w:color="auto"/>
          </w:divBdr>
          <w:divsChild>
            <w:div w:id="1208683369">
              <w:marLeft w:val="0"/>
              <w:marRight w:val="0"/>
              <w:marTop w:val="0"/>
              <w:marBottom w:val="0"/>
              <w:divBdr>
                <w:top w:val="none" w:sz="0" w:space="0" w:color="auto"/>
                <w:left w:val="none" w:sz="0" w:space="0" w:color="auto"/>
                <w:bottom w:val="none" w:sz="0" w:space="0" w:color="auto"/>
                <w:right w:val="none" w:sz="0" w:space="0" w:color="auto"/>
              </w:divBdr>
              <w:divsChild>
                <w:div w:id="686293100">
                  <w:marLeft w:val="0"/>
                  <w:marRight w:val="0"/>
                  <w:marTop w:val="0"/>
                  <w:marBottom w:val="0"/>
                  <w:divBdr>
                    <w:top w:val="none" w:sz="0" w:space="0" w:color="auto"/>
                    <w:left w:val="none" w:sz="0" w:space="0" w:color="auto"/>
                    <w:bottom w:val="none" w:sz="0" w:space="0" w:color="auto"/>
                    <w:right w:val="none" w:sz="0" w:space="0" w:color="auto"/>
                  </w:divBdr>
                  <w:divsChild>
                    <w:div w:id="604195586">
                      <w:marLeft w:val="0"/>
                      <w:marRight w:val="0"/>
                      <w:marTop w:val="0"/>
                      <w:marBottom w:val="525"/>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 w:id="1035547386">
                      <w:marLeft w:val="0"/>
                      <w:marRight w:val="0"/>
                      <w:marTop w:val="435"/>
                      <w:marBottom w:val="75"/>
                      <w:divBdr>
                        <w:top w:val="none" w:sz="0" w:space="0" w:color="auto"/>
                        <w:left w:val="none" w:sz="0" w:space="0" w:color="auto"/>
                        <w:bottom w:val="none" w:sz="0" w:space="0" w:color="auto"/>
                        <w:right w:val="none" w:sz="0" w:space="0" w:color="auto"/>
                      </w:divBdr>
                      <w:divsChild>
                        <w:div w:id="13373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7480">
          <w:marLeft w:val="0"/>
          <w:marRight w:val="0"/>
          <w:marTop w:val="0"/>
          <w:marBottom w:val="0"/>
          <w:divBdr>
            <w:top w:val="none" w:sz="0" w:space="0" w:color="auto"/>
            <w:left w:val="none" w:sz="0" w:space="0" w:color="auto"/>
            <w:bottom w:val="none" w:sz="0" w:space="0" w:color="auto"/>
            <w:right w:val="none" w:sz="0" w:space="0" w:color="auto"/>
          </w:divBdr>
          <w:divsChild>
            <w:div w:id="1045525487">
              <w:marLeft w:val="0"/>
              <w:marRight w:val="0"/>
              <w:marTop w:val="0"/>
              <w:marBottom w:val="0"/>
              <w:divBdr>
                <w:top w:val="none" w:sz="0" w:space="0" w:color="auto"/>
                <w:left w:val="none" w:sz="0" w:space="0" w:color="auto"/>
                <w:bottom w:val="none" w:sz="0" w:space="0" w:color="auto"/>
                <w:right w:val="none" w:sz="0" w:space="0" w:color="auto"/>
              </w:divBdr>
              <w:divsChild>
                <w:div w:id="683626913">
                  <w:marLeft w:val="0"/>
                  <w:marRight w:val="0"/>
                  <w:marTop w:val="0"/>
                  <w:marBottom w:val="0"/>
                  <w:divBdr>
                    <w:top w:val="none" w:sz="0" w:space="0" w:color="auto"/>
                    <w:left w:val="none" w:sz="0" w:space="0" w:color="auto"/>
                    <w:bottom w:val="none" w:sz="0" w:space="0" w:color="auto"/>
                    <w:right w:val="none" w:sz="0" w:space="0" w:color="auto"/>
                  </w:divBdr>
                  <w:divsChild>
                    <w:div w:id="1060131433">
                      <w:marLeft w:val="0"/>
                      <w:marRight w:val="0"/>
                      <w:marTop w:val="165"/>
                      <w:marBottom w:val="90"/>
                      <w:divBdr>
                        <w:top w:val="none" w:sz="0" w:space="0" w:color="auto"/>
                        <w:left w:val="none" w:sz="0" w:space="0" w:color="auto"/>
                        <w:bottom w:val="none" w:sz="0" w:space="0" w:color="auto"/>
                        <w:right w:val="none" w:sz="0" w:space="0" w:color="auto"/>
                      </w:divBdr>
                      <w:divsChild>
                        <w:div w:id="1739862588">
                          <w:marLeft w:val="0"/>
                          <w:marRight w:val="0"/>
                          <w:marTop w:val="0"/>
                          <w:marBottom w:val="0"/>
                          <w:divBdr>
                            <w:top w:val="none" w:sz="0" w:space="0" w:color="auto"/>
                            <w:left w:val="none" w:sz="0" w:space="0" w:color="auto"/>
                            <w:bottom w:val="none" w:sz="0" w:space="0" w:color="auto"/>
                            <w:right w:val="none" w:sz="0" w:space="0" w:color="auto"/>
                          </w:divBdr>
                        </w:div>
                      </w:divsChild>
                    </w:div>
                    <w:div w:id="1382317332">
                      <w:marLeft w:val="0"/>
                      <w:marRight w:val="0"/>
                      <w:marTop w:val="0"/>
                      <w:marBottom w:val="525"/>
                      <w:divBdr>
                        <w:top w:val="none" w:sz="0" w:space="0" w:color="auto"/>
                        <w:left w:val="none" w:sz="0" w:space="0" w:color="auto"/>
                        <w:bottom w:val="none" w:sz="0" w:space="0" w:color="auto"/>
                        <w:right w:val="none" w:sz="0" w:space="0" w:color="auto"/>
                      </w:divBdr>
                      <w:divsChild>
                        <w:div w:id="669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22087">
      <w:bodyDiv w:val="1"/>
      <w:marLeft w:val="0"/>
      <w:marRight w:val="0"/>
      <w:marTop w:val="0"/>
      <w:marBottom w:val="0"/>
      <w:divBdr>
        <w:top w:val="none" w:sz="0" w:space="0" w:color="auto"/>
        <w:left w:val="none" w:sz="0" w:space="0" w:color="auto"/>
        <w:bottom w:val="none" w:sz="0" w:space="0" w:color="auto"/>
        <w:right w:val="none" w:sz="0" w:space="0" w:color="auto"/>
      </w:divBdr>
      <w:divsChild>
        <w:div w:id="1183789676">
          <w:marLeft w:val="0"/>
          <w:marRight w:val="0"/>
          <w:marTop w:val="0"/>
          <w:marBottom w:val="0"/>
          <w:divBdr>
            <w:top w:val="none" w:sz="0" w:space="0" w:color="auto"/>
            <w:left w:val="none" w:sz="0" w:space="0" w:color="auto"/>
            <w:bottom w:val="none" w:sz="0" w:space="0" w:color="auto"/>
            <w:right w:val="none" w:sz="0" w:space="0" w:color="auto"/>
          </w:divBdr>
          <w:divsChild>
            <w:div w:id="913975004">
              <w:marLeft w:val="0"/>
              <w:marRight w:val="0"/>
              <w:marTop w:val="0"/>
              <w:marBottom w:val="0"/>
              <w:divBdr>
                <w:top w:val="none" w:sz="0" w:space="0" w:color="auto"/>
                <w:left w:val="none" w:sz="0" w:space="0" w:color="auto"/>
                <w:bottom w:val="none" w:sz="0" w:space="0" w:color="auto"/>
                <w:right w:val="none" w:sz="0" w:space="0" w:color="auto"/>
              </w:divBdr>
            </w:div>
          </w:divsChild>
        </w:div>
        <w:div w:id="1748073264">
          <w:marLeft w:val="0"/>
          <w:marRight w:val="0"/>
          <w:marTop w:val="0"/>
          <w:marBottom w:val="0"/>
          <w:divBdr>
            <w:top w:val="none" w:sz="0" w:space="0" w:color="auto"/>
            <w:left w:val="none" w:sz="0" w:space="0" w:color="auto"/>
            <w:bottom w:val="none" w:sz="0" w:space="0" w:color="auto"/>
            <w:right w:val="none" w:sz="0" w:space="0" w:color="auto"/>
          </w:divBdr>
          <w:divsChild>
            <w:div w:id="588587503">
              <w:marLeft w:val="0"/>
              <w:marRight w:val="0"/>
              <w:marTop w:val="0"/>
              <w:marBottom w:val="0"/>
              <w:divBdr>
                <w:top w:val="none" w:sz="0" w:space="0" w:color="auto"/>
                <w:left w:val="none" w:sz="0" w:space="0" w:color="auto"/>
                <w:bottom w:val="none" w:sz="0" w:space="0" w:color="auto"/>
                <w:right w:val="none" w:sz="0" w:space="0" w:color="auto"/>
              </w:divBdr>
            </w:div>
          </w:divsChild>
        </w:div>
        <w:div w:id="1884828223">
          <w:marLeft w:val="0"/>
          <w:marRight w:val="0"/>
          <w:marTop w:val="0"/>
          <w:marBottom w:val="0"/>
          <w:divBdr>
            <w:top w:val="none" w:sz="0" w:space="0" w:color="auto"/>
            <w:left w:val="none" w:sz="0" w:space="0" w:color="auto"/>
            <w:bottom w:val="none" w:sz="0" w:space="0" w:color="auto"/>
            <w:right w:val="none" w:sz="0" w:space="0" w:color="auto"/>
          </w:divBdr>
          <w:divsChild>
            <w:div w:id="1081221552">
              <w:marLeft w:val="0"/>
              <w:marRight w:val="0"/>
              <w:marTop w:val="0"/>
              <w:marBottom w:val="0"/>
              <w:divBdr>
                <w:top w:val="none" w:sz="0" w:space="0" w:color="auto"/>
                <w:left w:val="none" w:sz="0" w:space="0" w:color="auto"/>
                <w:bottom w:val="none" w:sz="0" w:space="0" w:color="auto"/>
                <w:right w:val="none" w:sz="0" w:space="0" w:color="auto"/>
              </w:divBdr>
            </w:div>
          </w:divsChild>
        </w:div>
        <w:div w:id="1936669299">
          <w:marLeft w:val="0"/>
          <w:marRight w:val="0"/>
          <w:marTop w:val="0"/>
          <w:marBottom w:val="0"/>
          <w:divBdr>
            <w:top w:val="none" w:sz="0" w:space="0" w:color="auto"/>
            <w:left w:val="none" w:sz="0" w:space="0" w:color="auto"/>
            <w:bottom w:val="none" w:sz="0" w:space="0" w:color="auto"/>
            <w:right w:val="none" w:sz="0" w:space="0" w:color="auto"/>
          </w:divBdr>
          <w:divsChild>
            <w:div w:id="609816887">
              <w:marLeft w:val="0"/>
              <w:marRight w:val="0"/>
              <w:marTop w:val="0"/>
              <w:marBottom w:val="0"/>
              <w:divBdr>
                <w:top w:val="none" w:sz="0" w:space="0" w:color="auto"/>
                <w:left w:val="none" w:sz="0" w:space="0" w:color="auto"/>
                <w:bottom w:val="none" w:sz="0" w:space="0" w:color="auto"/>
                <w:right w:val="none" w:sz="0" w:space="0" w:color="auto"/>
              </w:divBdr>
            </w:div>
          </w:divsChild>
        </w:div>
        <w:div w:id="1976137966">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995794862">
          <w:marLeft w:val="0"/>
          <w:marRight w:val="0"/>
          <w:marTop w:val="0"/>
          <w:marBottom w:val="0"/>
          <w:divBdr>
            <w:top w:val="none" w:sz="0" w:space="0" w:color="auto"/>
            <w:left w:val="none" w:sz="0" w:space="0" w:color="auto"/>
            <w:bottom w:val="none" w:sz="0" w:space="0" w:color="auto"/>
            <w:right w:val="none" w:sz="0" w:space="0" w:color="auto"/>
          </w:divBdr>
          <w:divsChild>
            <w:div w:id="8050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791">
      <w:bodyDiv w:val="1"/>
      <w:marLeft w:val="0"/>
      <w:marRight w:val="0"/>
      <w:marTop w:val="0"/>
      <w:marBottom w:val="0"/>
      <w:divBdr>
        <w:top w:val="none" w:sz="0" w:space="0" w:color="auto"/>
        <w:left w:val="none" w:sz="0" w:space="0" w:color="auto"/>
        <w:bottom w:val="none" w:sz="0" w:space="0" w:color="auto"/>
        <w:right w:val="none" w:sz="0" w:space="0" w:color="auto"/>
      </w:divBdr>
      <w:divsChild>
        <w:div w:id="92943239">
          <w:marLeft w:val="0"/>
          <w:marRight w:val="0"/>
          <w:marTop w:val="0"/>
          <w:marBottom w:val="0"/>
          <w:divBdr>
            <w:top w:val="none" w:sz="0" w:space="0" w:color="auto"/>
            <w:left w:val="none" w:sz="0" w:space="0" w:color="auto"/>
            <w:bottom w:val="none" w:sz="0" w:space="0" w:color="auto"/>
            <w:right w:val="none" w:sz="0" w:space="0" w:color="auto"/>
          </w:divBdr>
          <w:divsChild>
            <w:div w:id="1996907741">
              <w:marLeft w:val="0"/>
              <w:marRight w:val="0"/>
              <w:marTop w:val="0"/>
              <w:marBottom w:val="0"/>
              <w:divBdr>
                <w:top w:val="none" w:sz="0" w:space="0" w:color="auto"/>
                <w:left w:val="none" w:sz="0" w:space="0" w:color="auto"/>
                <w:bottom w:val="none" w:sz="0" w:space="0" w:color="auto"/>
                <w:right w:val="none" w:sz="0" w:space="0" w:color="auto"/>
              </w:divBdr>
            </w:div>
          </w:divsChild>
        </w:div>
        <w:div w:id="648677378">
          <w:marLeft w:val="0"/>
          <w:marRight w:val="0"/>
          <w:marTop w:val="0"/>
          <w:marBottom w:val="0"/>
          <w:divBdr>
            <w:top w:val="none" w:sz="0" w:space="0" w:color="auto"/>
            <w:left w:val="none" w:sz="0" w:space="0" w:color="auto"/>
            <w:bottom w:val="none" w:sz="0" w:space="0" w:color="auto"/>
            <w:right w:val="none" w:sz="0" w:space="0" w:color="auto"/>
          </w:divBdr>
          <w:divsChild>
            <w:div w:id="2082219071">
              <w:marLeft w:val="0"/>
              <w:marRight w:val="0"/>
              <w:marTop w:val="0"/>
              <w:marBottom w:val="0"/>
              <w:divBdr>
                <w:top w:val="none" w:sz="0" w:space="0" w:color="auto"/>
                <w:left w:val="none" w:sz="0" w:space="0" w:color="auto"/>
                <w:bottom w:val="none" w:sz="0" w:space="0" w:color="auto"/>
                <w:right w:val="none" w:sz="0" w:space="0" w:color="auto"/>
              </w:divBdr>
            </w:div>
          </w:divsChild>
        </w:div>
        <w:div w:id="952320252">
          <w:marLeft w:val="0"/>
          <w:marRight w:val="0"/>
          <w:marTop w:val="0"/>
          <w:marBottom w:val="0"/>
          <w:divBdr>
            <w:top w:val="none" w:sz="0" w:space="0" w:color="auto"/>
            <w:left w:val="none" w:sz="0" w:space="0" w:color="auto"/>
            <w:bottom w:val="none" w:sz="0" w:space="0" w:color="auto"/>
            <w:right w:val="none" w:sz="0" w:space="0" w:color="auto"/>
          </w:divBdr>
          <w:divsChild>
            <w:div w:id="2061436640">
              <w:marLeft w:val="0"/>
              <w:marRight w:val="0"/>
              <w:marTop w:val="0"/>
              <w:marBottom w:val="0"/>
              <w:divBdr>
                <w:top w:val="none" w:sz="0" w:space="0" w:color="auto"/>
                <w:left w:val="none" w:sz="0" w:space="0" w:color="auto"/>
                <w:bottom w:val="none" w:sz="0" w:space="0" w:color="auto"/>
                <w:right w:val="none" w:sz="0" w:space="0" w:color="auto"/>
              </w:divBdr>
            </w:div>
          </w:divsChild>
        </w:div>
        <w:div w:id="1242638457">
          <w:marLeft w:val="0"/>
          <w:marRight w:val="0"/>
          <w:marTop w:val="0"/>
          <w:marBottom w:val="0"/>
          <w:divBdr>
            <w:top w:val="none" w:sz="0" w:space="0" w:color="auto"/>
            <w:left w:val="none" w:sz="0" w:space="0" w:color="auto"/>
            <w:bottom w:val="none" w:sz="0" w:space="0" w:color="auto"/>
            <w:right w:val="none" w:sz="0" w:space="0" w:color="auto"/>
          </w:divBdr>
          <w:divsChild>
            <w:div w:id="453644758">
              <w:marLeft w:val="0"/>
              <w:marRight w:val="0"/>
              <w:marTop w:val="0"/>
              <w:marBottom w:val="0"/>
              <w:divBdr>
                <w:top w:val="none" w:sz="0" w:space="0" w:color="auto"/>
                <w:left w:val="none" w:sz="0" w:space="0" w:color="auto"/>
                <w:bottom w:val="none" w:sz="0" w:space="0" w:color="auto"/>
                <w:right w:val="none" w:sz="0" w:space="0" w:color="auto"/>
              </w:divBdr>
            </w:div>
          </w:divsChild>
        </w:div>
        <w:div w:id="1275016965">
          <w:marLeft w:val="0"/>
          <w:marRight w:val="0"/>
          <w:marTop w:val="0"/>
          <w:marBottom w:val="0"/>
          <w:divBdr>
            <w:top w:val="none" w:sz="0" w:space="0" w:color="auto"/>
            <w:left w:val="none" w:sz="0" w:space="0" w:color="auto"/>
            <w:bottom w:val="none" w:sz="0" w:space="0" w:color="auto"/>
            <w:right w:val="none" w:sz="0" w:space="0" w:color="auto"/>
          </w:divBdr>
          <w:divsChild>
            <w:div w:id="564221910">
              <w:marLeft w:val="0"/>
              <w:marRight w:val="0"/>
              <w:marTop w:val="0"/>
              <w:marBottom w:val="0"/>
              <w:divBdr>
                <w:top w:val="none" w:sz="0" w:space="0" w:color="auto"/>
                <w:left w:val="none" w:sz="0" w:space="0" w:color="auto"/>
                <w:bottom w:val="none" w:sz="0" w:space="0" w:color="auto"/>
                <w:right w:val="none" w:sz="0" w:space="0" w:color="auto"/>
              </w:divBdr>
            </w:div>
          </w:divsChild>
        </w:div>
        <w:div w:id="1558081427">
          <w:marLeft w:val="0"/>
          <w:marRight w:val="0"/>
          <w:marTop w:val="0"/>
          <w:marBottom w:val="0"/>
          <w:divBdr>
            <w:top w:val="none" w:sz="0" w:space="0" w:color="auto"/>
            <w:left w:val="none" w:sz="0" w:space="0" w:color="auto"/>
            <w:bottom w:val="none" w:sz="0" w:space="0" w:color="auto"/>
            <w:right w:val="none" w:sz="0" w:space="0" w:color="auto"/>
          </w:divBdr>
          <w:divsChild>
            <w:div w:id="1336109049">
              <w:marLeft w:val="0"/>
              <w:marRight w:val="0"/>
              <w:marTop w:val="0"/>
              <w:marBottom w:val="0"/>
              <w:divBdr>
                <w:top w:val="none" w:sz="0" w:space="0" w:color="auto"/>
                <w:left w:val="none" w:sz="0" w:space="0" w:color="auto"/>
                <w:bottom w:val="none" w:sz="0" w:space="0" w:color="auto"/>
                <w:right w:val="none" w:sz="0" w:space="0" w:color="auto"/>
              </w:divBdr>
            </w:div>
          </w:divsChild>
        </w:div>
        <w:div w:id="1994723055">
          <w:marLeft w:val="0"/>
          <w:marRight w:val="0"/>
          <w:marTop w:val="0"/>
          <w:marBottom w:val="0"/>
          <w:divBdr>
            <w:top w:val="none" w:sz="0" w:space="0" w:color="auto"/>
            <w:left w:val="none" w:sz="0" w:space="0" w:color="auto"/>
            <w:bottom w:val="none" w:sz="0" w:space="0" w:color="auto"/>
            <w:right w:val="none" w:sz="0" w:space="0" w:color="auto"/>
          </w:divBdr>
          <w:divsChild>
            <w:div w:id="12124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938">
      <w:bodyDiv w:val="1"/>
      <w:marLeft w:val="0"/>
      <w:marRight w:val="0"/>
      <w:marTop w:val="0"/>
      <w:marBottom w:val="0"/>
      <w:divBdr>
        <w:top w:val="none" w:sz="0" w:space="0" w:color="auto"/>
        <w:left w:val="none" w:sz="0" w:space="0" w:color="auto"/>
        <w:bottom w:val="none" w:sz="0" w:space="0" w:color="auto"/>
        <w:right w:val="none" w:sz="0" w:space="0" w:color="auto"/>
      </w:divBdr>
    </w:div>
    <w:div w:id="1261528943">
      <w:bodyDiv w:val="1"/>
      <w:marLeft w:val="0"/>
      <w:marRight w:val="0"/>
      <w:marTop w:val="0"/>
      <w:marBottom w:val="0"/>
      <w:divBdr>
        <w:top w:val="none" w:sz="0" w:space="0" w:color="auto"/>
        <w:left w:val="none" w:sz="0" w:space="0" w:color="auto"/>
        <w:bottom w:val="none" w:sz="0" w:space="0" w:color="auto"/>
        <w:right w:val="none" w:sz="0" w:space="0" w:color="auto"/>
      </w:divBdr>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
    <w:div w:id="1495221907">
      <w:bodyDiv w:val="1"/>
      <w:marLeft w:val="0"/>
      <w:marRight w:val="0"/>
      <w:marTop w:val="0"/>
      <w:marBottom w:val="0"/>
      <w:divBdr>
        <w:top w:val="none" w:sz="0" w:space="0" w:color="auto"/>
        <w:left w:val="none" w:sz="0" w:space="0" w:color="auto"/>
        <w:bottom w:val="none" w:sz="0" w:space="0" w:color="auto"/>
        <w:right w:val="none" w:sz="0" w:space="0" w:color="auto"/>
      </w:divBdr>
    </w:div>
    <w:div w:id="1606035566">
      <w:bodyDiv w:val="1"/>
      <w:marLeft w:val="0"/>
      <w:marRight w:val="0"/>
      <w:marTop w:val="0"/>
      <w:marBottom w:val="0"/>
      <w:divBdr>
        <w:top w:val="none" w:sz="0" w:space="0" w:color="auto"/>
        <w:left w:val="none" w:sz="0" w:space="0" w:color="auto"/>
        <w:bottom w:val="none" w:sz="0" w:space="0" w:color="auto"/>
        <w:right w:val="none" w:sz="0" w:space="0" w:color="auto"/>
      </w:divBdr>
    </w:div>
    <w:div w:id="1613048329">
      <w:bodyDiv w:val="1"/>
      <w:marLeft w:val="0"/>
      <w:marRight w:val="0"/>
      <w:marTop w:val="0"/>
      <w:marBottom w:val="0"/>
      <w:divBdr>
        <w:top w:val="none" w:sz="0" w:space="0" w:color="auto"/>
        <w:left w:val="none" w:sz="0" w:space="0" w:color="auto"/>
        <w:bottom w:val="none" w:sz="0" w:space="0" w:color="auto"/>
        <w:right w:val="none" w:sz="0" w:space="0" w:color="auto"/>
      </w:divBdr>
    </w:div>
    <w:div w:id="1703631097">
      <w:bodyDiv w:val="1"/>
      <w:marLeft w:val="0"/>
      <w:marRight w:val="0"/>
      <w:marTop w:val="0"/>
      <w:marBottom w:val="0"/>
      <w:divBdr>
        <w:top w:val="none" w:sz="0" w:space="0" w:color="auto"/>
        <w:left w:val="none" w:sz="0" w:space="0" w:color="auto"/>
        <w:bottom w:val="none" w:sz="0" w:space="0" w:color="auto"/>
        <w:right w:val="none" w:sz="0" w:space="0" w:color="auto"/>
      </w:divBdr>
    </w:div>
    <w:div w:id="2069498783">
      <w:bodyDiv w:val="1"/>
      <w:marLeft w:val="0"/>
      <w:marRight w:val="0"/>
      <w:marTop w:val="0"/>
      <w:marBottom w:val="0"/>
      <w:divBdr>
        <w:top w:val="none" w:sz="0" w:space="0" w:color="auto"/>
        <w:left w:val="none" w:sz="0" w:space="0" w:color="auto"/>
        <w:bottom w:val="none" w:sz="0" w:space="0" w:color="auto"/>
        <w:right w:val="none" w:sz="0" w:space="0" w:color="auto"/>
      </w:divBdr>
    </w:div>
    <w:div w:id="208313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tdzxOVkA4-s" TargetMode="External"/><Relationship Id="rId18" Type="http://schemas.openxmlformats.org/officeDocument/2006/relationships/hyperlink" Target="https://www.vichealth.vic.gov.au/-/media/ResourceCentre/PublicationsandResources/PVAW/Encountering-Resistance-Gender-Equality.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vichealth.vic.gov.au/-/media/ProgramsandProjects/HealthInequalities/VicHealth-Framing-masculinity-message-guide-2020.pdf"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rainbowhealthaustralia.org.au/news/pride-in-prevention-messaging-guid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chealth.vic.gov.au/-/media/ProgramsandProjects/HealthInequalities/VicHealth-Framing-masculinity-message-guide-2020.pdf?la=en&amp;hash=5C7A0577057997705D93D71052E66DCB5F1BC685" TargetMode="External"/><Relationship Id="rId20" Type="http://schemas.openxmlformats.org/officeDocument/2006/relationships/hyperlink" Target="https://www.vichealth.vic.gov.au/-/media/ResourceCentre/PublicationsandResources/Mental-health/Framing-gender-equality---Message-guide.pdf?la=en&amp;hash=AF111835871BFA3092C1F9DD98B3C8AA0E4932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vichealth.vic.gov.au/-/media/ResourceCentre/PublicationsandResources/Mental-health/Framing-gender-equality---Message-guide.pdf?la=en&amp;hash=AF111835871BFA3092C1F9DD98B3C8AA0E493295" TargetMode="External"/><Relationship Id="rId23" Type="http://schemas.openxmlformats.org/officeDocument/2006/relationships/hyperlink" Target="https://whwest.org.au/resource/speaking-publicly-about-preventing-mens-violence-against-wom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health.vic.gov.au/-/media/ResourceCentre/PublicationsandResources/PVAW/Encountering-Resistance-Gender-Equality.pdf" TargetMode="External"/><Relationship Id="rId22" Type="http://schemas.openxmlformats.org/officeDocument/2006/relationships/hyperlink" Target="https://www.ilga-europe.org/communicationsresources/framingequalit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7b446b-44da-4041-b044-ccba8e8c15f7">
      <Terms xmlns="http://schemas.microsoft.com/office/infopath/2007/PartnerControls"/>
    </lcf76f155ced4ddcb4097134ff3c332f>
    <TaxCatchAll xmlns="b928e48a-b0a7-42aa-a9f1-c04da16a4e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3907B3F9A90C4C9DADE92516F24AF8" ma:contentTypeVersion="14" ma:contentTypeDescription="Create a new document." ma:contentTypeScope="" ma:versionID="d600cd2592494c31770da040009b0b5a">
  <xsd:schema xmlns:xsd="http://www.w3.org/2001/XMLSchema" xmlns:xs="http://www.w3.org/2001/XMLSchema" xmlns:p="http://schemas.microsoft.com/office/2006/metadata/properties" xmlns:ns2="b87b446b-44da-4041-b044-ccba8e8c15f7" xmlns:ns3="b928e48a-b0a7-42aa-a9f1-c04da16a4e62" targetNamespace="http://schemas.microsoft.com/office/2006/metadata/properties" ma:root="true" ma:fieldsID="614b15e0d6c41404b1ea1d9e79baf49b" ns2:_="" ns3:_="">
    <xsd:import namespace="b87b446b-44da-4041-b044-ccba8e8c15f7"/>
    <xsd:import namespace="b928e48a-b0a7-42aa-a9f1-c04da16a4e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b446b-44da-4041-b044-ccba8e8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8e48a-b0a7-42aa-a9f1-c04da16a4e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c02afd-b298-4956-965d-ac916eea1df8}" ma:internalName="TaxCatchAll" ma:showField="CatchAllData" ma:web="b928e48a-b0a7-42aa-a9f1-c04da16a4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50DA4-DF0D-4B40-B129-3A1F33BB73D6}">
  <ds:schemaRefs>
    <ds:schemaRef ds:uri="http://schemas.openxmlformats.org/officeDocument/2006/bibliography"/>
  </ds:schemaRefs>
</ds:datastoreItem>
</file>

<file path=customXml/itemProps2.xml><?xml version="1.0" encoding="utf-8"?>
<ds:datastoreItem xmlns:ds="http://schemas.openxmlformats.org/officeDocument/2006/customXml" ds:itemID="{33C25FE3-AE48-492D-B19C-72D9A076EDEE}">
  <ds:schemaRefs>
    <ds:schemaRef ds:uri="http://schemas.microsoft.com/office/2006/metadata/properties"/>
    <ds:schemaRef ds:uri="http://schemas.microsoft.com/office/infopath/2007/PartnerControls"/>
    <ds:schemaRef ds:uri="b87b446b-44da-4041-b044-ccba8e8c15f7"/>
    <ds:schemaRef ds:uri="b928e48a-b0a7-42aa-a9f1-c04da16a4e62"/>
  </ds:schemaRefs>
</ds:datastoreItem>
</file>

<file path=customXml/itemProps3.xml><?xml version="1.0" encoding="utf-8"?>
<ds:datastoreItem xmlns:ds="http://schemas.openxmlformats.org/officeDocument/2006/customXml" ds:itemID="{0E16E00C-5361-447F-8E4B-6AF80E4E9453}">
  <ds:schemaRefs>
    <ds:schemaRef ds:uri="http://schemas.microsoft.com/sharepoint/v3/contenttype/forms"/>
  </ds:schemaRefs>
</ds:datastoreItem>
</file>

<file path=customXml/itemProps4.xml><?xml version="1.0" encoding="utf-8"?>
<ds:datastoreItem xmlns:ds="http://schemas.openxmlformats.org/officeDocument/2006/customXml" ds:itemID="{E8B18A13-4B26-482D-B53D-746BDDB52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b446b-44da-4041-b044-ccba8e8c15f7"/>
    <ds:schemaRef ds:uri="b928e48a-b0a7-42aa-a9f1-c04da16a4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Fast Facts</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Facts</dc:title>
  <dc:subject/>
  <dc:creator>Safe and Equal</dc:creator>
  <cp:keywords/>
  <dc:description/>
  <cp:lastModifiedBy>Olivia Franklin</cp:lastModifiedBy>
  <cp:revision>11</cp:revision>
  <cp:lastPrinted>2021-04-01T00:04:00Z</cp:lastPrinted>
  <dcterms:created xsi:type="dcterms:W3CDTF">2022-08-23T05:07:00Z</dcterms:created>
  <dcterms:modified xsi:type="dcterms:W3CDTF">2022-08-23T05:27:00Z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0x0101007E3907B3F9A90C4C9DADE92516F24AF8</vt:lpwstr>
  </property>
  <property fmtid="{D5CDD505-2E9C-101B-9397-08002B2CF9AE}" pid="3" name="Language">
    <vt:lpwstr>English</vt:lpwstr>
  </property>
  <property fmtid="{D5CDD505-2E9C-101B-9397-08002B2CF9AE}" pid="4" name="MediaServiceImageTags">
    <vt:lpwstr/>
  </property>
</Properties>
</file>