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18D0" w14:textId="2F241DCF" w:rsidR="00D50222" w:rsidRDefault="00D50222" w:rsidP="0091057C">
      <w:pPr>
        <w:rPr>
          <w:rFonts w:eastAsiaTheme="majorEastAsia"/>
          <w:noProof/>
        </w:rPr>
      </w:pPr>
      <w:r>
        <w:rPr>
          <w:rFonts w:eastAsiaTheme="majorEastAsia"/>
          <w:noProof/>
        </w:rPr>
        <w:drawing>
          <wp:inline distT="0" distB="0" distL="0" distR="0" wp14:anchorId="179850F7" wp14:editId="36C2D47F">
            <wp:extent cx="3893820" cy="534065"/>
            <wp:effectExtent l="0" t="0" r="0" b="0"/>
            <wp:docPr id="1" name="Picture 1" descr="Logo - Domestic Violenc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VVIC_Block-Horizontal.png"/>
                    <pic:cNvPicPr/>
                  </pic:nvPicPr>
                  <pic:blipFill>
                    <a:blip r:embed="rId8">
                      <a:extLst>
                        <a:ext uri="{28A0092B-C50C-407E-A947-70E740481C1C}">
                          <a14:useLocalDpi xmlns:a14="http://schemas.microsoft.com/office/drawing/2010/main" val="0"/>
                        </a:ext>
                      </a:extLst>
                    </a:blip>
                    <a:stretch>
                      <a:fillRect/>
                    </a:stretch>
                  </pic:blipFill>
                  <pic:spPr>
                    <a:xfrm>
                      <a:off x="0" y="0"/>
                      <a:ext cx="3994776" cy="547912"/>
                    </a:xfrm>
                    <a:prstGeom prst="rect">
                      <a:avLst/>
                    </a:prstGeom>
                  </pic:spPr>
                </pic:pic>
              </a:graphicData>
            </a:graphic>
          </wp:inline>
        </w:drawing>
      </w:r>
    </w:p>
    <w:p w14:paraId="16D9BDA2" w14:textId="6B5ECCCC" w:rsidR="00924ED3" w:rsidRPr="00D50222" w:rsidRDefault="00924ED3" w:rsidP="0091057C">
      <w:pPr>
        <w:pStyle w:val="Heading1"/>
      </w:pPr>
      <w:r w:rsidRPr="00D50222">
        <w:t>Code of Practice Audit Tool</w:t>
      </w:r>
    </w:p>
    <w:p w14:paraId="215C72EE" w14:textId="77777777" w:rsidR="00585546" w:rsidRPr="00EA351B" w:rsidRDefault="00C70902" w:rsidP="0091057C">
      <w:bookmarkStart w:id="0" w:name="_Hlk32410349"/>
      <w:r w:rsidRPr="00EA351B">
        <w:t xml:space="preserve">The audit tool should be utilised in conjunction with the </w:t>
      </w:r>
      <w:r w:rsidRPr="00EA351B">
        <w:rPr>
          <w:i/>
          <w:iCs/>
        </w:rPr>
        <w:t>Code of Practice: Principles and Standards for Specialist Family Violence Services for Victim-Survivors</w:t>
      </w:r>
      <w:r w:rsidRPr="00EA351B">
        <w:t xml:space="preserve"> (the Code) provided by the peak body, Domestic Violence Victoria. </w:t>
      </w:r>
    </w:p>
    <w:p w14:paraId="2C976E19" w14:textId="77777777" w:rsidR="00585546" w:rsidRPr="00EA351B" w:rsidRDefault="00585546" w:rsidP="0091057C"/>
    <w:p w14:paraId="58FD4D3F" w14:textId="1C5BBE7D" w:rsidR="003D7D7B" w:rsidRPr="00EA351B" w:rsidRDefault="00585546" w:rsidP="0091057C">
      <w:r w:rsidRPr="00EA351B">
        <w:t>T</w:t>
      </w:r>
      <w:r w:rsidR="00C70902" w:rsidRPr="00EA351B">
        <w:t xml:space="preserve">he tool </w:t>
      </w:r>
      <w:r w:rsidRPr="00EA351B">
        <w:t xml:space="preserve">is available to assist specialist family violence services to use the Code as a resource for continuous quality improvement. </w:t>
      </w:r>
      <w:r w:rsidR="003D7D7B" w:rsidRPr="00EA351B">
        <w:t xml:space="preserve">It is </w:t>
      </w:r>
      <w:r w:rsidR="00975593" w:rsidRPr="00EA351B">
        <w:t xml:space="preserve">designed for services to: </w:t>
      </w:r>
    </w:p>
    <w:p w14:paraId="1ABF47E5" w14:textId="77777777" w:rsidR="00D81A45" w:rsidRPr="00D81A45" w:rsidRDefault="00D81A45" w:rsidP="0091057C">
      <w:pPr>
        <w:pStyle w:val="ListParagraph"/>
        <w:numPr>
          <w:ilvl w:val="0"/>
          <w:numId w:val="35"/>
        </w:numPr>
      </w:pPr>
      <w:r w:rsidRPr="00D81A45">
        <w:t xml:space="preserve">evidence and rate their performance against the standards and indicators of the Code;  </w:t>
      </w:r>
    </w:p>
    <w:p w14:paraId="3735C9F9" w14:textId="77777777" w:rsidR="00D81A45" w:rsidRPr="00D81A45" w:rsidRDefault="00D81A45" w:rsidP="0091057C">
      <w:pPr>
        <w:pStyle w:val="ListParagraph"/>
        <w:numPr>
          <w:ilvl w:val="0"/>
          <w:numId w:val="35"/>
        </w:numPr>
      </w:pPr>
      <w:r w:rsidRPr="00D81A45">
        <w:t xml:space="preserve">identify and critically reflect on areas for internal improvement and change management; </w:t>
      </w:r>
    </w:p>
    <w:p w14:paraId="25922EA0" w14:textId="77777777" w:rsidR="00D81A45" w:rsidRPr="00D81A45" w:rsidRDefault="00D81A45" w:rsidP="0091057C">
      <w:pPr>
        <w:pStyle w:val="ListParagraph"/>
        <w:numPr>
          <w:ilvl w:val="0"/>
          <w:numId w:val="35"/>
        </w:numPr>
      </w:pPr>
      <w:r w:rsidRPr="00D81A45">
        <w:t xml:space="preserve">identify impediments to meeting standards and indicators that may require improved systemic collaboration and/or advocacy; and </w:t>
      </w:r>
    </w:p>
    <w:p w14:paraId="74136971" w14:textId="77777777" w:rsidR="00D81A45" w:rsidRPr="00D81A45" w:rsidRDefault="00D81A45" w:rsidP="0091057C">
      <w:pPr>
        <w:pStyle w:val="ListParagraph"/>
        <w:numPr>
          <w:ilvl w:val="0"/>
          <w:numId w:val="35"/>
        </w:numPr>
      </w:pPr>
      <w:r w:rsidRPr="00D81A45">
        <w:t xml:space="preserve">develop and document action plans with timelines, key responsibilities and outcomes. </w:t>
      </w:r>
    </w:p>
    <w:p w14:paraId="5E043376" w14:textId="144116BC" w:rsidR="00975593" w:rsidRPr="00EA351B" w:rsidRDefault="00975593" w:rsidP="0091057C">
      <w:pPr>
        <w:pStyle w:val="ListParagraph"/>
      </w:pPr>
    </w:p>
    <w:p w14:paraId="5E60E523" w14:textId="5A3ABFFF" w:rsidR="00D50222" w:rsidRDefault="00D16F98" w:rsidP="0091057C">
      <w:r w:rsidRPr="00D16F98">
        <w:t xml:space="preserve">The audit tool also shows how the Code complements the </w:t>
      </w:r>
      <w:r w:rsidRPr="00D16F98">
        <w:rPr>
          <w:i/>
          <w:iCs/>
        </w:rPr>
        <w:t>Department of Health and Human Services Standards</w:t>
      </w:r>
      <w:r w:rsidRPr="00D16F98">
        <w:rPr>
          <w:rStyle w:val="FootnoteReference"/>
        </w:rPr>
        <w:footnoteReference w:id="1"/>
      </w:r>
      <w:r w:rsidRPr="00D16F98">
        <w:t xml:space="preserve"> and the </w:t>
      </w:r>
      <w:r w:rsidRPr="00D16F98">
        <w:rPr>
          <w:i/>
          <w:iCs/>
        </w:rPr>
        <w:t>Community Services Quality Governance Framework</w:t>
      </w:r>
      <w:r w:rsidRPr="00D16F98">
        <w:t>.</w:t>
      </w:r>
      <w:r w:rsidRPr="00D16F98">
        <w:rPr>
          <w:rStyle w:val="FootnoteReference"/>
        </w:rPr>
        <w:footnoteReference w:id="2"/>
      </w:r>
      <w:r w:rsidRPr="00D16F98">
        <w:t xml:space="preserve"> </w:t>
      </w:r>
      <w:r w:rsidR="00C70902" w:rsidRPr="00D16F98">
        <w:t xml:space="preserve">This is not intended to replace these essential resources; rather, the aim is to assist specialist family violence </w:t>
      </w:r>
      <w:r w:rsidR="00C70902" w:rsidRPr="0091057C">
        <w:t>services</w:t>
      </w:r>
      <w:r w:rsidR="00C70902" w:rsidRPr="00D16F98">
        <w:t xml:space="preserve"> to use the Code alongside these resources to provide high quality family violence services to the community. </w:t>
      </w:r>
      <w:r w:rsidR="003D7D7B" w:rsidRPr="00D16F98">
        <w:t xml:space="preserve">Understanding the complements between the Code and these resources </w:t>
      </w:r>
      <w:r w:rsidR="00C70902" w:rsidRPr="00D16F98">
        <w:t xml:space="preserve">may also assist services to prepare for accreditation processes. </w:t>
      </w:r>
    </w:p>
    <w:p w14:paraId="1AE491E6" w14:textId="77777777" w:rsidR="0091057C" w:rsidRDefault="0091057C" w:rsidP="0091057C"/>
    <w:bookmarkEnd w:id="0"/>
    <w:p w14:paraId="1AE99D07" w14:textId="653FB9CA" w:rsidR="0091057C" w:rsidRDefault="0091057C" w:rsidP="0091057C">
      <w:pPr>
        <w:rPr>
          <w:b/>
          <w:bCs/>
        </w:rPr>
      </w:pPr>
      <w:r w:rsidRPr="0091057C">
        <w:t>Please note, if printing, this document is best printed at A3 size</w:t>
      </w:r>
      <w:r>
        <w:rPr>
          <w:b/>
          <w:bCs/>
        </w:rPr>
        <w:t xml:space="preserve">. </w:t>
      </w:r>
      <w:r w:rsidRPr="0091057C">
        <w:t>It is also able to be filled in digitally.</w:t>
      </w:r>
    </w:p>
    <w:p w14:paraId="45F82863" w14:textId="2AD07A1E" w:rsidR="00924ED3" w:rsidRPr="00EA351B" w:rsidRDefault="00924ED3" w:rsidP="0091057C">
      <w:pPr>
        <w:pStyle w:val="Heading2"/>
      </w:pPr>
      <w:r w:rsidRPr="00D50222">
        <w:t>About the Standards and Indicators</w:t>
      </w:r>
    </w:p>
    <w:p w14:paraId="114AAB9D" w14:textId="77777777" w:rsidR="000330AE" w:rsidRPr="000330AE" w:rsidRDefault="000330AE" w:rsidP="0091057C">
      <w:r w:rsidRPr="000330AE">
        <w:t xml:space="preserve">The standards and indicators are informed by the foundational framework and structured according to the principles of the Code. </w:t>
      </w:r>
    </w:p>
    <w:p w14:paraId="78A66712" w14:textId="77777777" w:rsidR="000330AE" w:rsidRPr="000330AE" w:rsidRDefault="000330AE" w:rsidP="0091057C"/>
    <w:p w14:paraId="22CD10DB" w14:textId="77777777" w:rsidR="000330AE" w:rsidRPr="000330AE" w:rsidRDefault="000330AE" w:rsidP="0091057C">
      <w:r w:rsidRPr="000330AE">
        <w:t xml:space="preserve">Each standard is accompanied by a set of indicators that are written as organisational-level statements describing actions, outputs and processes. </w:t>
      </w:r>
    </w:p>
    <w:p w14:paraId="300C6A04" w14:textId="77777777" w:rsidR="000330AE" w:rsidRPr="000330AE" w:rsidRDefault="000330AE" w:rsidP="0091057C"/>
    <w:p w14:paraId="44E7B98F" w14:textId="1E993460" w:rsidR="00C70902" w:rsidRPr="00EA351B" w:rsidRDefault="000330AE" w:rsidP="00663F63">
      <w:r w:rsidRPr="000330AE">
        <w:t xml:space="preserve">The standards and indicators are not intended to provide detailed and nuanced practice advice; rather, they are meant to be used by specialist family violence services to inform service design and continuous quality improvement processes within their own specific contexts. Specialist family violence services should also consult the Principles </w:t>
      </w:r>
      <w:r w:rsidR="008F2178">
        <w:t xml:space="preserve">and Standards </w:t>
      </w:r>
      <w:r w:rsidRPr="000330AE">
        <w:t>section of the Code and the documents referred to in the indicators for additional guidance.</w:t>
      </w:r>
    </w:p>
    <w:p w14:paraId="68F58336" w14:textId="767AFDA5" w:rsidR="00B9670B" w:rsidRPr="00EA351B" w:rsidRDefault="00B9670B" w:rsidP="00663F63">
      <w:pPr>
        <w:pStyle w:val="Heading2"/>
      </w:pPr>
      <w:r w:rsidRPr="00EA351B">
        <w:t xml:space="preserve">Types of evidence </w:t>
      </w:r>
    </w:p>
    <w:p w14:paraId="0511F4BE" w14:textId="77777777" w:rsidR="00C45F8D" w:rsidRPr="00EA351B" w:rsidRDefault="00B9670B" w:rsidP="0091057C">
      <w:r w:rsidRPr="00EA351B">
        <w:t xml:space="preserve">The format of the standards and indicators allows for a degree of flexibility and innovation for specialist family violence services to demonstrate evidence </w:t>
      </w:r>
      <w:r w:rsidR="00924ED3" w:rsidRPr="00EA351B">
        <w:t>within their own service context</w:t>
      </w:r>
      <w:r w:rsidRPr="00EA351B">
        <w:t>.</w:t>
      </w:r>
      <w:r w:rsidR="00924ED3" w:rsidRPr="00EA351B">
        <w:t xml:space="preserve"> </w:t>
      </w:r>
    </w:p>
    <w:p w14:paraId="5E49AB20" w14:textId="77777777" w:rsidR="00C45F8D" w:rsidRPr="00EA351B" w:rsidRDefault="00C45F8D" w:rsidP="0091057C"/>
    <w:p w14:paraId="032C396F" w14:textId="67619AAD" w:rsidR="00EA351B" w:rsidRPr="00EA351B" w:rsidRDefault="00B9670B" w:rsidP="0091057C">
      <w:r w:rsidRPr="00EA351B">
        <w:t xml:space="preserve">Suggested </w:t>
      </w:r>
      <w:r w:rsidR="00924ED3" w:rsidRPr="00EA351B">
        <w:t xml:space="preserve">resources to demonstrate evidence include: </w:t>
      </w:r>
    </w:p>
    <w:p w14:paraId="791F7274" w14:textId="77777777" w:rsidR="00B9670B" w:rsidRPr="00EA351B" w:rsidRDefault="00B9670B" w:rsidP="0091057C">
      <w:pPr>
        <w:pStyle w:val="ListParagraph"/>
        <w:numPr>
          <w:ilvl w:val="0"/>
          <w:numId w:val="26"/>
        </w:numPr>
      </w:pPr>
      <w:r w:rsidRPr="00EA351B">
        <w:t>policies and procedures</w:t>
      </w:r>
    </w:p>
    <w:p w14:paraId="4676B364" w14:textId="77777777" w:rsidR="00B9670B" w:rsidRPr="00EA351B" w:rsidRDefault="00B9670B" w:rsidP="0091057C">
      <w:pPr>
        <w:pStyle w:val="ListParagraph"/>
        <w:numPr>
          <w:ilvl w:val="0"/>
          <w:numId w:val="26"/>
        </w:numPr>
      </w:pPr>
      <w:r w:rsidRPr="00EA351B">
        <w:t>online or print resources</w:t>
      </w:r>
    </w:p>
    <w:p w14:paraId="52CCE8DB" w14:textId="77777777" w:rsidR="00B9670B" w:rsidRPr="00EA351B" w:rsidRDefault="00B9670B" w:rsidP="0091057C">
      <w:pPr>
        <w:pStyle w:val="ListParagraph"/>
        <w:numPr>
          <w:ilvl w:val="0"/>
          <w:numId w:val="26"/>
        </w:numPr>
      </w:pPr>
      <w:r w:rsidRPr="00EA351B">
        <w:t xml:space="preserve">manuals, tools and guidelines </w:t>
      </w:r>
    </w:p>
    <w:p w14:paraId="1A0DF81F" w14:textId="649A9319" w:rsidR="00B9670B" w:rsidRPr="00EA351B" w:rsidRDefault="00B9670B" w:rsidP="0091057C">
      <w:pPr>
        <w:pStyle w:val="ListParagraph"/>
        <w:numPr>
          <w:ilvl w:val="0"/>
          <w:numId w:val="26"/>
        </w:numPr>
      </w:pPr>
      <w:r w:rsidRPr="00EA351B">
        <w:t>governance documents and strategic plans</w:t>
      </w:r>
    </w:p>
    <w:p w14:paraId="24F47995" w14:textId="77777777" w:rsidR="00B9670B" w:rsidRPr="00EA351B" w:rsidRDefault="00B9670B" w:rsidP="0091057C">
      <w:pPr>
        <w:pStyle w:val="ListParagraph"/>
        <w:numPr>
          <w:ilvl w:val="0"/>
          <w:numId w:val="26"/>
        </w:numPr>
      </w:pPr>
      <w:r w:rsidRPr="00EA351B">
        <w:t xml:space="preserve">meeting minutes and acquitted actions </w:t>
      </w:r>
    </w:p>
    <w:p w14:paraId="51E90512" w14:textId="77777777" w:rsidR="00B9670B" w:rsidRPr="00EA351B" w:rsidRDefault="00B9670B" w:rsidP="0091057C">
      <w:pPr>
        <w:pStyle w:val="ListParagraph"/>
        <w:numPr>
          <w:ilvl w:val="0"/>
          <w:numId w:val="26"/>
        </w:numPr>
      </w:pPr>
      <w:r w:rsidRPr="00EA351B">
        <w:t>staff and client feedback mechanisms and outcomes</w:t>
      </w:r>
    </w:p>
    <w:p w14:paraId="7374695D" w14:textId="77777777" w:rsidR="00B9670B" w:rsidRPr="00EA351B" w:rsidRDefault="00B9670B" w:rsidP="0091057C">
      <w:pPr>
        <w:pStyle w:val="ListParagraph"/>
        <w:numPr>
          <w:ilvl w:val="0"/>
          <w:numId w:val="26"/>
        </w:numPr>
      </w:pPr>
      <w:r w:rsidRPr="00EA351B">
        <w:t xml:space="preserve">staff induction and professional development programs </w:t>
      </w:r>
    </w:p>
    <w:p w14:paraId="53FB0F38" w14:textId="77777777" w:rsidR="00B9670B" w:rsidRPr="00EA351B" w:rsidRDefault="00B9670B" w:rsidP="0091057C">
      <w:pPr>
        <w:pStyle w:val="ListParagraph"/>
        <w:numPr>
          <w:ilvl w:val="0"/>
          <w:numId w:val="26"/>
        </w:numPr>
      </w:pPr>
      <w:r w:rsidRPr="00EA351B">
        <w:t>case management records and client file audits</w:t>
      </w:r>
    </w:p>
    <w:p w14:paraId="6183A9B0" w14:textId="67756115" w:rsidR="00B9670B" w:rsidRPr="00EA351B" w:rsidRDefault="00B9670B" w:rsidP="0091057C">
      <w:pPr>
        <w:pStyle w:val="ListParagraph"/>
        <w:numPr>
          <w:ilvl w:val="0"/>
          <w:numId w:val="26"/>
        </w:numPr>
      </w:pPr>
      <w:r w:rsidRPr="00EA351B">
        <w:t xml:space="preserve">supervision and reflective practice </w:t>
      </w:r>
      <w:r w:rsidR="0090317A" w:rsidRPr="00EA351B">
        <w:t>documentation</w:t>
      </w:r>
    </w:p>
    <w:p w14:paraId="1311B6AF" w14:textId="7A953EF9" w:rsidR="00B9670B" w:rsidRPr="00EA351B" w:rsidRDefault="00B9670B" w:rsidP="0091057C">
      <w:pPr>
        <w:pStyle w:val="ListParagraph"/>
        <w:numPr>
          <w:ilvl w:val="0"/>
          <w:numId w:val="26"/>
        </w:numPr>
      </w:pPr>
      <w:r w:rsidRPr="00EA351B">
        <w:t>service quality management systems</w:t>
      </w:r>
      <w:r w:rsidR="0090317A" w:rsidRPr="00EA351B">
        <w:t xml:space="preserve"> and reports</w:t>
      </w:r>
    </w:p>
    <w:p w14:paraId="299A00B6" w14:textId="77777777" w:rsidR="00B9670B" w:rsidRPr="00EA351B" w:rsidRDefault="00B9670B" w:rsidP="0091057C">
      <w:pPr>
        <w:pStyle w:val="ListParagraph"/>
        <w:numPr>
          <w:ilvl w:val="0"/>
          <w:numId w:val="26"/>
        </w:numPr>
      </w:pPr>
      <w:r w:rsidRPr="00EA351B">
        <w:t>service and client data review plans and reports</w:t>
      </w:r>
    </w:p>
    <w:p w14:paraId="141A153F" w14:textId="77777777" w:rsidR="00B9670B" w:rsidRPr="00EA351B" w:rsidRDefault="00B9670B" w:rsidP="0091057C">
      <w:pPr>
        <w:pStyle w:val="ListParagraph"/>
        <w:numPr>
          <w:ilvl w:val="0"/>
          <w:numId w:val="26"/>
        </w:numPr>
      </w:pPr>
      <w:r w:rsidRPr="00EA351B">
        <w:t xml:space="preserve">monitoring and evaluation plans and reports </w:t>
      </w:r>
    </w:p>
    <w:p w14:paraId="6F8D5919" w14:textId="3FE3E6DF" w:rsidR="00D50222" w:rsidRPr="00D50222" w:rsidRDefault="00B9670B" w:rsidP="0091057C">
      <w:pPr>
        <w:pStyle w:val="ListParagraph"/>
        <w:numPr>
          <w:ilvl w:val="0"/>
          <w:numId w:val="26"/>
        </w:numPr>
      </w:pPr>
      <w:r w:rsidRPr="00EA351B">
        <w:t>internal and external audit reports</w:t>
      </w:r>
    </w:p>
    <w:p w14:paraId="6B6D0ECF" w14:textId="5811460B" w:rsidR="009B32F3" w:rsidRPr="00D50222" w:rsidRDefault="009B32F3" w:rsidP="0091057C">
      <w:pPr>
        <w:pStyle w:val="ListParagraph"/>
        <w:numPr>
          <w:ilvl w:val="0"/>
          <w:numId w:val="26"/>
        </w:numPr>
      </w:pPr>
      <w:r w:rsidRPr="00D50222">
        <w:t>accreditation or action plans</w:t>
      </w:r>
      <w:r w:rsidR="00C45F8D" w:rsidRPr="00D50222">
        <w:t xml:space="preserve"> to address inclusion (e.g. Rainbow Tick Accreditation, Disability Action Plan, Reconciliation Action Plan) </w:t>
      </w:r>
      <w:r w:rsidRPr="00D50222">
        <w:t xml:space="preserve">  </w:t>
      </w:r>
    </w:p>
    <w:p w14:paraId="4022564B" w14:textId="77777777" w:rsidR="00D50222" w:rsidRPr="00D50222" w:rsidRDefault="00D50222" w:rsidP="0091057C">
      <w:pPr>
        <w:pStyle w:val="ListParagraph"/>
      </w:pPr>
    </w:p>
    <w:p w14:paraId="24914633" w14:textId="77777777" w:rsidR="00EA351B" w:rsidRPr="00EA351B" w:rsidRDefault="00EA351B" w:rsidP="0091057C">
      <w:pPr>
        <w:pStyle w:val="Heading2"/>
      </w:pPr>
      <w:r w:rsidRPr="00EA351B">
        <w:lastRenderedPageBreak/>
        <w:t xml:space="preserve">Rating system </w:t>
      </w:r>
    </w:p>
    <w:p w14:paraId="743ED4B0" w14:textId="77777777" w:rsidR="00EA351B" w:rsidRPr="00EA351B" w:rsidRDefault="00EA351B" w:rsidP="0091057C"/>
    <w:p w14:paraId="29724CB0" w14:textId="58309616" w:rsidR="00EA351B" w:rsidRPr="00EA351B" w:rsidRDefault="00EA351B" w:rsidP="0091057C">
      <w:r w:rsidRPr="00EA351B">
        <w:rPr>
          <w:b/>
          <w:bCs/>
        </w:rPr>
        <w:t>M</w:t>
      </w:r>
      <w:r w:rsidRPr="00EA351B">
        <w:t xml:space="preserve"> – ‘Met’  The indicator is met if there is demonstrable evidence that it is implemented and sustainable into the foreseeable future.</w:t>
      </w:r>
    </w:p>
    <w:p w14:paraId="20F4D362" w14:textId="77777777" w:rsidR="00EA351B" w:rsidRPr="00EA351B" w:rsidRDefault="00EA351B" w:rsidP="0091057C"/>
    <w:p w14:paraId="6B5E091A" w14:textId="5D072D11" w:rsidR="00EA351B" w:rsidRPr="00EA351B" w:rsidRDefault="00EA351B" w:rsidP="0091057C">
      <w:r w:rsidRPr="00EA351B">
        <w:rPr>
          <w:b/>
          <w:bCs/>
        </w:rPr>
        <w:t>NYM</w:t>
      </w:r>
      <w:r w:rsidRPr="00EA351B">
        <w:t xml:space="preserve"> – ‘Not yet met’ The indicator is not yet met if there is no demonstrable evidence that it is implemented or sustainable. Further action for improvements is required.</w:t>
      </w:r>
    </w:p>
    <w:p w14:paraId="1190149F" w14:textId="77777777" w:rsidR="00EA351B" w:rsidRPr="00EA351B" w:rsidRDefault="00EA351B" w:rsidP="0091057C"/>
    <w:p w14:paraId="5F73DA12" w14:textId="7758C634" w:rsidR="00EA351B" w:rsidRPr="00EA351B" w:rsidRDefault="00EA351B" w:rsidP="0091057C">
      <w:r w:rsidRPr="00EA351B">
        <w:rPr>
          <w:b/>
          <w:bCs/>
        </w:rPr>
        <w:t>NA</w:t>
      </w:r>
      <w:r w:rsidRPr="00EA351B">
        <w:t xml:space="preserve"> – ‘Not applicable’ A particular indicator may be deemed not applicable if the service can demonstrate that it is not relevant for their particular service context.</w:t>
      </w:r>
    </w:p>
    <w:p w14:paraId="7A81DB39" w14:textId="77777777" w:rsidR="00EA351B" w:rsidRPr="00EA351B" w:rsidRDefault="00EA351B" w:rsidP="0091057C"/>
    <w:p w14:paraId="62C40F1E" w14:textId="23B8C1B6" w:rsidR="00EA351B" w:rsidRDefault="00EA351B" w:rsidP="0091057C">
      <w:r w:rsidRPr="00EA351B">
        <w:rPr>
          <w:b/>
          <w:bCs/>
        </w:rPr>
        <w:t>EX</w:t>
      </w:r>
      <w:r w:rsidRPr="00EA351B">
        <w:t xml:space="preserve"> – ‘Exemption required’ An indicator may require an exemption if the service can evidence that it cannot be met because of external factors that impede on implementation such as funding and resourcing constraints, conflicts with other guidelines or standards, or requirements of policy and legislation. An exemption rating could still result in action planning, such as undertaking systemic advocacy, funding applications, research and evaluation or other approaches that may assist to meet the indicator in the future.</w:t>
      </w:r>
    </w:p>
    <w:p w14:paraId="061CB1DC" w14:textId="15DFFAE0" w:rsidR="00EA351B" w:rsidRDefault="00EA351B" w:rsidP="0091057C"/>
    <w:p w14:paraId="4CA80E75" w14:textId="3C4C9211" w:rsidR="00EA351B" w:rsidRPr="00EA351B" w:rsidRDefault="00EA351B" w:rsidP="0091057C">
      <w:pPr>
        <w:pStyle w:val="Heading2"/>
      </w:pPr>
      <w:r>
        <w:t>Complementary resource key</w:t>
      </w:r>
    </w:p>
    <w:p w14:paraId="10653D2D" w14:textId="6BF1891D" w:rsidR="005C1185" w:rsidRDefault="005C1185" w:rsidP="0091057C"/>
    <w:p w14:paraId="2C2615B9" w14:textId="4C76D42F" w:rsidR="00EA351B" w:rsidRPr="0091057C" w:rsidRDefault="00EA351B" w:rsidP="0091057C">
      <w:r w:rsidRPr="0091057C">
        <w:rPr>
          <w:b/>
          <w:bCs/>
        </w:rPr>
        <w:t>HSS</w:t>
      </w:r>
      <w:r w:rsidRPr="0091057C">
        <w:t xml:space="preserve"> – Department of Health and Human Services Standards (</w:t>
      </w:r>
      <w:r w:rsidR="00305227" w:rsidRPr="0091057C">
        <w:t xml:space="preserve">the </w:t>
      </w:r>
      <w:r w:rsidRPr="0091057C">
        <w:t>standards)</w:t>
      </w:r>
    </w:p>
    <w:p w14:paraId="757E5A1D" w14:textId="0B540186" w:rsidR="00EA351B" w:rsidRPr="0091057C" w:rsidRDefault="00EA351B" w:rsidP="0091057C"/>
    <w:p w14:paraId="30CB363E" w14:textId="20D6B7CB" w:rsidR="00EA351B" w:rsidRPr="0091057C" w:rsidRDefault="00EA351B" w:rsidP="0091057C">
      <w:r w:rsidRPr="0091057C">
        <w:rPr>
          <w:b/>
          <w:bCs/>
        </w:rPr>
        <w:t xml:space="preserve">QGF </w:t>
      </w:r>
      <w:r w:rsidRPr="0091057C">
        <w:t>– Community Services Quality Governance Framework (</w:t>
      </w:r>
      <w:r w:rsidR="00305227" w:rsidRPr="0091057C">
        <w:t xml:space="preserve">the </w:t>
      </w:r>
      <w:r w:rsidRPr="0091057C">
        <w:t>quality governance domains)</w:t>
      </w:r>
    </w:p>
    <w:p w14:paraId="6855A96E" w14:textId="3951D420" w:rsidR="0091057C" w:rsidRDefault="0091057C" w:rsidP="0091057C"/>
    <w:p w14:paraId="1343B06F" w14:textId="493D5555" w:rsidR="0091057C" w:rsidRDefault="0091057C" w:rsidP="0091057C">
      <w:pPr>
        <w:pStyle w:val="Heading2"/>
      </w:pPr>
      <w:r>
        <w:t>Principle 1: Risk and Safety Focus</w:t>
      </w:r>
    </w:p>
    <w:p w14:paraId="55DA4BD3" w14:textId="77777777" w:rsidR="0091057C" w:rsidRDefault="0091057C" w:rsidP="0091057C">
      <w:pPr>
        <w:pStyle w:val="Heading3"/>
      </w:pPr>
      <w:r>
        <w:t>Standard 1.1 The service is aligned with systemic guidance for family violence risk assessment and risk management.</w:t>
      </w:r>
    </w:p>
    <w:p w14:paraId="329BBEC3" w14:textId="77777777" w:rsidR="0091057C" w:rsidRDefault="0091057C" w:rsidP="0091057C">
      <w:r>
        <w:t>HSS: (2) Access and engagement; (3) Wellbeing; (5) Governance and management</w:t>
      </w:r>
    </w:p>
    <w:p w14:paraId="50FF86B4" w14:textId="2B0412EE" w:rsidR="0091057C" w:rsidRDefault="0091057C" w:rsidP="0091057C">
      <w:r>
        <w:t>QGF domains: Workforce; Risk management</w:t>
      </w:r>
    </w:p>
    <w:p w14:paraId="5656ED8E" w14:textId="77777777" w:rsidR="00663F63" w:rsidRDefault="00663F63" w:rsidP="0091057C"/>
    <w:tbl>
      <w:tblPr>
        <w:tblStyle w:val="TableGridLight"/>
        <w:tblW w:w="21533" w:type="dxa"/>
        <w:tblLook w:val="0020" w:firstRow="1" w:lastRow="0" w:firstColumn="0" w:lastColumn="0" w:noHBand="0" w:noVBand="0"/>
      </w:tblPr>
      <w:tblGrid>
        <w:gridCol w:w="5427"/>
        <w:gridCol w:w="936"/>
        <w:gridCol w:w="3293"/>
        <w:gridCol w:w="3396"/>
        <w:gridCol w:w="2502"/>
        <w:gridCol w:w="2593"/>
        <w:gridCol w:w="3386"/>
      </w:tblGrid>
      <w:tr w:rsidR="00663F63" w:rsidRPr="0089741D" w14:paraId="15D285F8" w14:textId="77777777" w:rsidTr="00FD4A08">
        <w:trPr>
          <w:trHeight w:val="327"/>
        </w:trPr>
        <w:tc>
          <w:tcPr>
            <w:tcW w:w="5427" w:type="dxa"/>
            <w:shd w:val="clear" w:color="auto" w:fill="F2F2F2" w:themeFill="background1" w:themeFillShade="F2"/>
          </w:tcPr>
          <w:p w14:paraId="14A6C113" w14:textId="77777777" w:rsidR="00663F63" w:rsidRPr="0089741D" w:rsidRDefault="00663F63" w:rsidP="00DB13FF">
            <w:r>
              <w:t>INDICATORS</w:t>
            </w:r>
          </w:p>
        </w:tc>
        <w:tc>
          <w:tcPr>
            <w:tcW w:w="936" w:type="dxa"/>
            <w:shd w:val="clear" w:color="auto" w:fill="F2F2F2" w:themeFill="background1" w:themeFillShade="F2"/>
          </w:tcPr>
          <w:p w14:paraId="5C49A628" w14:textId="77777777" w:rsidR="00663F63" w:rsidRPr="0089741D" w:rsidRDefault="00663F63" w:rsidP="00DB13FF">
            <w:r w:rsidRPr="0089741D">
              <w:t>RATING</w:t>
            </w:r>
          </w:p>
        </w:tc>
        <w:tc>
          <w:tcPr>
            <w:tcW w:w="3293" w:type="dxa"/>
            <w:shd w:val="clear" w:color="auto" w:fill="F2F2F2" w:themeFill="background1" w:themeFillShade="F2"/>
          </w:tcPr>
          <w:p w14:paraId="10782579" w14:textId="77777777" w:rsidR="00663F63" w:rsidRPr="0089741D" w:rsidRDefault="00663F63" w:rsidP="00DB13FF">
            <w:r w:rsidRPr="0089741D">
              <w:t xml:space="preserve">EVIDENCE </w:t>
            </w:r>
          </w:p>
        </w:tc>
        <w:tc>
          <w:tcPr>
            <w:tcW w:w="3396" w:type="dxa"/>
            <w:shd w:val="clear" w:color="auto" w:fill="F2F2F2" w:themeFill="background1" w:themeFillShade="F2"/>
          </w:tcPr>
          <w:p w14:paraId="6C425DBC" w14:textId="77777777" w:rsidR="00663F63" w:rsidRPr="0089741D" w:rsidRDefault="00663F63" w:rsidP="00DB13FF">
            <w:r w:rsidRPr="0089741D">
              <w:t xml:space="preserve">IMPROVEMENT ACTIONS </w:t>
            </w:r>
          </w:p>
        </w:tc>
        <w:tc>
          <w:tcPr>
            <w:tcW w:w="2502" w:type="dxa"/>
            <w:shd w:val="clear" w:color="auto" w:fill="F2F2F2" w:themeFill="background1" w:themeFillShade="F2"/>
          </w:tcPr>
          <w:p w14:paraId="4912D9C7" w14:textId="77777777" w:rsidR="00663F63" w:rsidRPr="0089741D" w:rsidRDefault="00663F63" w:rsidP="00DB13FF">
            <w:r w:rsidRPr="0089741D">
              <w:t>TIMEFRAME</w:t>
            </w:r>
          </w:p>
        </w:tc>
        <w:tc>
          <w:tcPr>
            <w:tcW w:w="2593" w:type="dxa"/>
            <w:shd w:val="clear" w:color="auto" w:fill="F2F2F2" w:themeFill="background1" w:themeFillShade="F2"/>
          </w:tcPr>
          <w:p w14:paraId="73397118" w14:textId="77777777" w:rsidR="00663F63" w:rsidRPr="0089741D" w:rsidRDefault="00663F63" w:rsidP="00DB13FF">
            <w:r w:rsidRPr="0089741D">
              <w:t>PERSON(S) RESPONSIBLE</w:t>
            </w:r>
          </w:p>
        </w:tc>
        <w:tc>
          <w:tcPr>
            <w:tcW w:w="3386" w:type="dxa"/>
            <w:shd w:val="clear" w:color="auto" w:fill="F2F2F2" w:themeFill="background1" w:themeFillShade="F2"/>
          </w:tcPr>
          <w:p w14:paraId="7DB4A2B2" w14:textId="77777777" w:rsidR="00663F63" w:rsidRPr="0089741D" w:rsidRDefault="00663F63" w:rsidP="00DB13FF">
            <w:r w:rsidRPr="0089741D">
              <w:t>OUTCOME</w:t>
            </w:r>
          </w:p>
        </w:tc>
      </w:tr>
      <w:tr w:rsidR="00663F63" w:rsidRPr="0089741D" w14:paraId="23663749" w14:textId="77777777" w:rsidTr="00663F63">
        <w:trPr>
          <w:trHeight w:val="675"/>
        </w:trPr>
        <w:tc>
          <w:tcPr>
            <w:tcW w:w="5427" w:type="dxa"/>
            <w:shd w:val="clear" w:color="auto" w:fill="auto"/>
          </w:tcPr>
          <w:p w14:paraId="486A45F2" w14:textId="229E64C3" w:rsidR="00663F63" w:rsidRPr="0089741D" w:rsidRDefault="00663F63" w:rsidP="00663F63">
            <w:pPr>
              <w:pStyle w:val="ListParagraph"/>
              <w:numPr>
                <w:ilvl w:val="0"/>
                <w:numId w:val="1"/>
              </w:numPr>
              <w:jc w:val="left"/>
            </w:pPr>
            <w:r>
              <w:t xml:space="preserve">The </w:t>
            </w:r>
            <w:r w:rsidRPr="00663F63">
              <w:rPr>
                <w:i/>
                <w:iCs/>
              </w:rPr>
              <w:t>MARAM Framework</w:t>
            </w:r>
            <w:r>
              <w:t xml:space="preserve"> (policy, responsibilities, tools and practice guides) is integrated throughout organisational systems and service responses.</w:t>
            </w:r>
          </w:p>
        </w:tc>
        <w:tc>
          <w:tcPr>
            <w:tcW w:w="936" w:type="dxa"/>
          </w:tcPr>
          <w:p w14:paraId="300A405D" w14:textId="65CF84AF" w:rsidR="00663F63" w:rsidRPr="0089741D" w:rsidRDefault="00663F63" w:rsidP="00DB13FF"/>
        </w:tc>
        <w:tc>
          <w:tcPr>
            <w:tcW w:w="3293" w:type="dxa"/>
          </w:tcPr>
          <w:p w14:paraId="1453F566" w14:textId="77777777" w:rsidR="00663F63" w:rsidRPr="0089741D" w:rsidRDefault="00663F63" w:rsidP="00DB13FF"/>
        </w:tc>
        <w:tc>
          <w:tcPr>
            <w:tcW w:w="3396" w:type="dxa"/>
          </w:tcPr>
          <w:p w14:paraId="73F9F3B6" w14:textId="77777777" w:rsidR="00663F63" w:rsidRPr="0089741D" w:rsidRDefault="00663F63" w:rsidP="00DB13FF"/>
        </w:tc>
        <w:tc>
          <w:tcPr>
            <w:tcW w:w="2502" w:type="dxa"/>
          </w:tcPr>
          <w:p w14:paraId="57078D05" w14:textId="77777777" w:rsidR="00663F63" w:rsidRPr="0089741D" w:rsidRDefault="00663F63" w:rsidP="00DB13FF"/>
        </w:tc>
        <w:tc>
          <w:tcPr>
            <w:tcW w:w="2593" w:type="dxa"/>
          </w:tcPr>
          <w:p w14:paraId="57B9D50D" w14:textId="77777777" w:rsidR="00663F63" w:rsidRPr="0089741D" w:rsidRDefault="00663F63" w:rsidP="00DB13FF"/>
        </w:tc>
        <w:tc>
          <w:tcPr>
            <w:tcW w:w="3386" w:type="dxa"/>
          </w:tcPr>
          <w:p w14:paraId="0F2F4491" w14:textId="77777777" w:rsidR="00663F63" w:rsidRPr="0089741D" w:rsidRDefault="00663F63" w:rsidP="00DB13FF"/>
        </w:tc>
      </w:tr>
      <w:tr w:rsidR="00663F63" w:rsidRPr="0089741D" w14:paraId="3E8E1B07" w14:textId="77777777" w:rsidTr="00663F63">
        <w:trPr>
          <w:trHeight w:val="915"/>
        </w:trPr>
        <w:tc>
          <w:tcPr>
            <w:tcW w:w="5427" w:type="dxa"/>
            <w:shd w:val="clear" w:color="auto" w:fill="auto"/>
          </w:tcPr>
          <w:p w14:paraId="23639F5F" w14:textId="14FAB964" w:rsidR="00663F63" w:rsidRPr="0089741D" w:rsidRDefault="00663F63" w:rsidP="00663F63">
            <w:pPr>
              <w:pStyle w:val="ListParagraph"/>
              <w:numPr>
                <w:ilvl w:val="0"/>
                <w:numId w:val="1"/>
              </w:numPr>
              <w:kinsoku w:val="0"/>
              <w:adjustRightInd w:val="0"/>
              <w:spacing w:line="240" w:lineRule="auto"/>
              <w:ind w:left="357" w:hanging="357"/>
              <w:jc w:val="left"/>
            </w:pPr>
            <w:r w:rsidRPr="00663F63">
              <w:t xml:space="preserve">Risk assessment and risk management procedures are informed by the </w:t>
            </w:r>
            <w:r w:rsidRPr="00663F63">
              <w:rPr>
                <w:i/>
                <w:iCs/>
              </w:rPr>
              <w:t>MARAM Framework</w:t>
            </w:r>
            <w:r w:rsidRPr="00663F63">
              <w:t xml:space="preserve"> model of Structured Professional Judgement.</w:t>
            </w:r>
          </w:p>
        </w:tc>
        <w:tc>
          <w:tcPr>
            <w:tcW w:w="936" w:type="dxa"/>
          </w:tcPr>
          <w:p w14:paraId="3FE5CDAA" w14:textId="187AC2B1" w:rsidR="00663F63" w:rsidRPr="0089741D" w:rsidRDefault="00663F63" w:rsidP="00DB13FF"/>
        </w:tc>
        <w:tc>
          <w:tcPr>
            <w:tcW w:w="3293" w:type="dxa"/>
          </w:tcPr>
          <w:p w14:paraId="6E0FB78A" w14:textId="77777777" w:rsidR="00663F63" w:rsidRPr="0089741D" w:rsidRDefault="00663F63" w:rsidP="00DB13FF"/>
        </w:tc>
        <w:tc>
          <w:tcPr>
            <w:tcW w:w="3396" w:type="dxa"/>
          </w:tcPr>
          <w:p w14:paraId="6C011F98" w14:textId="77777777" w:rsidR="00663F63" w:rsidRPr="0089741D" w:rsidRDefault="00663F63" w:rsidP="00DB13FF"/>
        </w:tc>
        <w:tc>
          <w:tcPr>
            <w:tcW w:w="2502" w:type="dxa"/>
          </w:tcPr>
          <w:p w14:paraId="0225EACE" w14:textId="77777777" w:rsidR="00663F63" w:rsidRPr="0089741D" w:rsidRDefault="00663F63" w:rsidP="00DB13FF"/>
        </w:tc>
        <w:tc>
          <w:tcPr>
            <w:tcW w:w="2593" w:type="dxa"/>
          </w:tcPr>
          <w:p w14:paraId="03AD9990" w14:textId="77777777" w:rsidR="00663F63" w:rsidRPr="0089741D" w:rsidRDefault="00663F63" w:rsidP="00DB13FF"/>
        </w:tc>
        <w:tc>
          <w:tcPr>
            <w:tcW w:w="3386" w:type="dxa"/>
          </w:tcPr>
          <w:p w14:paraId="35E8C9AF" w14:textId="77777777" w:rsidR="00663F63" w:rsidRPr="0089741D" w:rsidRDefault="00663F63" w:rsidP="00DB13FF"/>
        </w:tc>
      </w:tr>
      <w:tr w:rsidR="00663F63" w:rsidRPr="0089741D" w14:paraId="425D7C84" w14:textId="77777777" w:rsidTr="00663F63">
        <w:trPr>
          <w:trHeight w:val="915"/>
        </w:trPr>
        <w:tc>
          <w:tcPr>
            <w:tcW w:w="5427" w:type="dxa"/>
            <w:shd w:val="clear" w:color="auto" w:fill="auto"/>
          </w:tcPr>
          <w:p w14:paraId="6CAFABA4" w14:textId="4B8C5253" w:rsidR="00663F63" w:rsidRPr="0089741D" w:rsidRDefault="00663F63" w:rsidP="00663F63">
            <w:pPr>
              <w:pStyle w:val="ListParagraph"/>
              <w:numPr>
                <w:ilvl w:val="0"/>
                <w:numId w:val="1"/>
              </w:numPr>
              <w:kinsoku w:val="0"/>
              <w:adjustRightInd w:val="0"/>
              <w:spacing w:line="240" w:lineRule="auto"/>
              <w:ind w:left="357" w:hanging="357"/>
              <w:jc w:val="left"/>
            </w:pPr>
            <w:r w:rsidRPr="00663F63">
              <w:t xml:space="preserve">The service participates in governance structures to support embedding the </w:t>
            </w:r>
            <w:r w:rsidRPr="00663F63">
              <w:rPr>
                <w:i/>
                <w:iCs/>
              </w:rPr>
              <w:t>MARAM Framework</w:t>
            </w:r>
            <w:r w:rsidRPr="00663F63">
              <w:t xml:space="preserve"> within its</w:t>
            </w:r>
            <w:r>
              <w:t xml:space="preserve"> </w:t>
            </w:r>
            <w:r w:rsidRPr="00663F63">
              <w:t>organisation and the broader family violence response system.</w:t>
            </w:r>
          </w:p>
        </w:tc>
        <w:tc>
          <w:tcPr>
            <w:tcW w:w="936" w:type="dxa"/>
          </w:tcPr>
          <w:p w14:paraId="2A589316" w14:textId="3E4E30A8" w:rsidR="00663F63" w:rsidRPr="0089741D" w:rsidRDefault="00663F63" w:rsidP="00DB13FF"/>
        </w:tc>
        <w:tc>
          <w:tcPr>
            <w:tcW w:w="3293" w:type="dxa"/>
          </w:tcPr>
          <w:p w14:paraId="230F8B09" w14:textId="77777777" w:rsidR="00663F63" w:rsidRPr="0089741D" w:rsidRDefault="00663F63" w:rsidP="00DB13FF"/>
        </w:tc>
        <w:tc>
          <w:tcPr>
            <w:tcW w:w="3396" w:type="dxa"/>
          </w:tcPr>
          <w:p w14:paraId="26559C28" w14:textId="77777777" w:rsidR="00663F63" w:rsidRPr="0089741D" w:rsidRDefault="00663F63" w:rsidP="00DB13FF"/>
        </w:tc>
        <w:tc>
          <w:tcPr>
            <w:tcW w:w="2502" w:type="dxa"/>
          </w:tcPr>
          <w:p w14:paraId="3D5473BD" w14:textId="77777777" w:rsidR="00663F63" w:rsidRPr="0089741D" w:rsidRDefault="00663F63" w:rsidP="00DB13FF"/>
        </w:tc>
        <w:tc>
          <w:tcPr>
            <w:tcW w:w="2593" w:type="dxa"/>
          </w:tcPr>
          <w:p w14:paraId="6BE8DEE4" w14:textId="77777777" w:rsidR="00663F63" w:rsidRPr="0089741D" w:rsidRDefault="00663F63" w:rsidP="00DB13FF"/>
        </w:tc>
        <w:tc>
          <w:tcPr>
            <w:tcW w:w="3386" w:type="dxa"/>
          </w:tcPr>
          <w:p w14:paraId="5FBBCABC" w14:textId="1104B192" w:rsidR="00663F63" w:rsidRPr="0089741D" w:rsidRDefault="00663F63" w:rsidP="00DB13FF"/>
        </w:tc>
      </w:tr>
      <w:tr w:rsidR="00663F63" w:rsidRPr="0089741D" w14:paraId="4E88D351" w14:textId="77777777" w:rsidTr="00663F63">
        <w:trPr>
          <w:trHeight w:val="915"/>
        </w:trPr>
        <w:tc>
          <w:tcPr>
            <w:tcW w:w="5427" w:type="dxa"/>
            <w:shd w:val="clear" w:color="auto" w:fill="auto"/>
          </w:tcPr>
          <w:p w14:paraId="177EB536" w14:textId="43CF0C64" w:rsidR="00663F63" w:rsidRPr="00663F63" w:rsidRDefault="00663F63" w:rsidP="00663F63">
            <w:pPr>
              <w:pStyle w:val="ListParagraph"/>
              <w:numPr>
                <w:ilvl w:val="0"/>
                <w:numId w:val="1"/>
              </w:numPr>
              <w:kinsoku w:val="0"/>
              <w:adjustRightInd w:val="0"/>
              <w:spacing w:line="240" w:lineRule="auto"/>
              <w:ind w:left="357" w:hanging="357"/>
              <w:jc w:val="left"/>
            </w:pPr>
            <w:r w:rsidRPr="00663F63">
              <w:t>Practitioners are inducted, trained and supervised to undertake ongoing risk assessment, risk management and safety planning with victim-survivors.</w:t>
            </w:r>
          </w:p>
        </w:tc>
        <w:tc>
          <w:tcPr>
            <w:tcW w:w="936" w:type="dxa"/>
          </w:tcPr>
          <w:p w14:paraId="72FAA99D" w14:textId="58218FD1" w:rsidR="00663F63" w:rsidRPr="0089741D" w:rsidRDefault="00663F63" w:rsidP="00DB13FF"/>
        </w:tc>
        <w:tc>
          <w:tcPr>
            <w:tcW w:w="3293" w:type="dxa"/>
          </w:tcPr>
          <w:p w14:paraId="1549D370" w14:textId="77777777" w:rsidR="00663F63" w:rsidRPr="0089741D" w:rsidRDefault="00663F63" w:rsidP="00DB13FF"/>
        </w:tc>
        <w:tc>
          <w:tcPr>
            <w:tcW w:w="3396" w:type="dxa"/>
          </w:tcPr>
          <w:p w14:paraId="4C413CA3" w14:textId="77777777" w:rsidR="00663F63" w:rsidRPr="0089741D" w:rsidRDefault="00663F63" w:rsidP="00DB13FF"/>
        </w:tc>
        <w:tc>
          <w:tcPr>
            <w:tcW w:w="2502" w:type="dxa"/>
          </w:tcPr>
          <w:p w14:paraId="7DC027F5" w14:textId="77777777" w:rsidR="00663F63" w:rsidRPr="0089741D" w:rsidRDefault="00663F63" w:rsidP="00DB13FF"/>
        </w:tc>
        <w:tc>
          <w:tcPr>
            <w:tcW w:w="2593" w:type="dxa"/>
          </w:tcPr>
          <w:p w14:paraId="4FC9CDAD" w14:textId="77777777" w:rsidR="00663F63" w:rsidRPr="0089741D" w:rsidRDefault="00663F63" w:rsidP="00DB13FF"/>
        </w:tc>
        <w:tc>
          <w:tcPr>
            <w:tcW w:w="3386" w:type="dxa"/>
          </w:tcPr>
          <w:p w14:paraId="0BE44071" w14:textId="77777777" w:rsidR="00663F63" w:rsidRPr="0089741D" w:rsidRDefault="00663F63" w:rsidP="00DB13FF"/>
        </w:tc>
      </w:tr>
      <w:tr w:rsidR="00663F63" w:rsidRPr="0089741D" w14:paraId="2A54702F" w14:textId="77777777" w:rsidTr="00663F63">
        <w:trPr>
          <w:trHeight w:val="915"/>
        </w:trPr>
        <w:tc>
          <w:tcPr>
            <w:tcW w:w="5427" w:type="dxa"/>
            <w:shd w:val="clear" w:color="auto" w:fill="auto"/>
          </w:tcPr>
          <w:p w14:paraId="721FA0F7" w14:textId="0FC2A6BD" w:rsidR="00663F63" w:rsidRPr="0089741D" w:rsidRDefault="00663F63" w:rsidP="00663F63">
            <w:pPr>
              <w:pStyle w:val="ListParagraph"/>
              <w:numPr>
                <w:ilvl w:val="0"/>
                <w:numId w:val="1"/>
              </w:numPr>
              <w:kinsoku w:val="0"/>
              <w:adjustRightInd w:val="0"/>
              <w:spacing w:line="240" w:lineRule="auto"/>
              <w:ind w:left="357" w:hanging="357"/>
              <w:jc w:val="left"/>
            </w:pPr>
            <w:r w:rsidRPr="00663F63">
              <w:t>Family violence risk is screened, triaged and responded to in a timely and efficient manner, including priority</w:t>
            </w:r>
            <w:r>
              <w:t xml:space="preserve"> </w:t>
            </w:r>
            <w:r w:rsidRPr="00663F63">
              <w:t>responses for crisis and escalating or serious risk.</w:t>
            </w:r>
          </w:p>
        </w:tc>
        <w:tc>
          <w:tcPr>
            <w:tcW w:w="936" w:type="dxa"/>
          </w:tcPr>
          <w:p w14:paraId="426F1C11" w14:textId="77777777" w:rsidR="00663F63" w:rsidRPr="0089741D" w:rsidRDefault="00663F63" w:rsidP="00DB13FF"/>
        </w:tc>
        <w:tc>
          <w:tcPr>
            <w:tcW w:w="3293" w:type="dxa"/>
          </w:tcPr>
          <w:p w14:paraId="3B94873A" w14:textId="77777777" w:rsidR="00663F63" w:rsidRPr="0089741D" w:rsidRDefault="00663F63" w:rsidP="00DB13FF"/>
        </w:tc>
        <w:tc>
          <w:tcPr>
            <w:tcW w:w="3396" w:type="dxa"/>
          </w:tcPr>
          <w:p w14:paraId="4C1487BF" w14:textId="77777777" w:rsidR="00663F63" w:rsidRPr="0089741D" w:rsidRDefault="00663F63" w:rsidP="00DB13FF"/>
        </w:tc>
        <w:tc>
          <w:tcPr>
            <w:tcW w:w="2502" w:type="dxa"/>
          </w:tcPr>
          <w:p w14:paraId="4AA895C2" w14:textId="77777777" w:rsidR="00663F63" w:rsidRPr="0089741D" w:rsidRDefault="00663F63" w:rsidP="00DB13FF"/>
        </w:tc>
        <w:tc>
          <w:tcPr>
            <w:tcW w:w="2593" w:type="dxa"/>
          </w:tcPr>
          <w:p w14:paraId="4086187B" w14:textId="77777777" w:rsidR="00663F63" w:rsidRPr="0089741D" w:rsidRDefault="00663F63" w:rsidP="00DB13FF"/>
        </w:tc>
        <w:tc>
          <w:tcPr>
            <w:tcW w:w="3386" w:type="dxa"/>
          </w:tcPr>
          <w:p w14:paraId="7365FAD3" w14:textId="77777777" w:rsidR="00663F63" w:rsidRPr="0089741D" w:rsidRDefault="00663F63" w:rsidP="00DB13FF"/>
        </w:tc>
      </w:tr>
      <w:tr w:rsidR="00663F63" w:rsidRPr="0089741D" w14:paraId="485CCBD2" w14:textId="77777777" w:rsidTr="00663F63">
        <w:trPr>
          <w:trHeight w:val="915"/>
        </w:trPr>
        <w:tc>
          <w:tcPr>
            <w:tcW w:w="5427" w:type="dxa"/>
            <w:shd w:val="clear" w:color="auto" w:fill="auto"/>
          </w:tcPr>
          <w:p w14:paraId="0460748C" w14:textId="564CC54C" w:rsidR="00663F63" w:rsidRPr="00D76F2D" w:rsidRDefault="00663F63" w:rsidP="00663F63">
            <w:pPr>
              <w:pStyle w:val="ListParagraph"/>
              <w:numPr>
                <w:ilvl w:val="0"/>
                <w:numId w:val="1"/>
              </w:numPr>
              <w:kinsoku w:val="0"/>
              <w:adjustRightInd w:val="0"/>
              <w:spacing w:line="240" w:lineRule="auto"/>
              <w:ind w:left="357" w:hanging="357"/>
              <w:jc w:val="left"/>
            </w:pPr>
            <w:r w:rsidRPr="00663F63">
              <w:t>Responsibilities for operational crisis and risk management responses are fulfilled (e.g. RAMP, Crisis Response Framework, Personal Safety Initiative, etc.).</w:t>
            </w:r>
          </w:p>
        </w:tc>
        <w:tc>
          <w:tcPr>
            <w:tcW w:w="936" w:type="dxa"/>
          </w:tcPr>
          <w:p w14:paraId="0363DE8D" w14:textId="77777777" w:rsidR="00663F63" w:rsidRPr="0089741D" w:rsidRDefault="00663F63" w:rsidP="00DB13FF"/>
        </w:tc>
        <w:tc>
          <w:tcPr>
            <w:tcW w:w="3293" w:type="dxa"/>
          </w:tcPr>
          <w:p w14:paraId="295D89D6" w14:textId="77777777" w:rsidR="00663F63" w:rsidRPr="0089741D" w:rsidRDefault="00663F63" w:rsidP="00DB13FF"/>
        </w:tc>
        <w:tc>
          <w:tcPr>
            <w:tcW w:w="3396" w:type="dxa"/>
          </w:tcPr>
          <w:p w14:paraId="047D9C94" w14:textId="77777777" w:rsidR="00663F63" w:rsidRPr="0089741D" w:rsidRDefault="00663F63" w:rsidP="00DB13FF"/>
        </w:tc>
        <w:tc>
          <w:tcPr>
            <w:tcW w:w="2502" w:type="dxa"/>
          </w:tcPr>
          <w:p w14:paraId="61EC9854" w14:textId="77777777" w:rsidR="00663F63" w:rsidRPr="0089741D" w:rsidRDefault="00663F63" w:rsidP="00DB13FF"/>
        </w:tc>
        <w:tc>
          <w:tcPr>
            <w:tcW w:w="2593" w:type="dxa"/>
          </w:tcPr>
          <w:p w14:paraId="4C9CC20E" w14:textId="77777777" w:rsidR="00663F63" w:rsidRPr="0089741D" w:rsidRDefault="00663F63" w:rsidP="00DB13FF"/>
        </w:tc>
        <w:tc>
          <w:tcPr>
            <w:tcW w:w="3386" w:type="dxa"/>
          </w:tcPr>
          <w:p w14:paraId="34CD705F" w14:textId="77777777" w:rsidR="00663F63" w:rsidRPr="0089741D" w:rsidRDefault="00663F63" w:rsidP="00DB13FF"/>
        </w:tc>
      </w:tr>
    </w:tbl>
    <w:p w14:paraId="29935814" w14:textId="77777777" w:rsidR="00663F63" w:rsidRPr="0091057C" w:rsidRDefault="00663F63" w:rsidP="0091057C"/>
    <w:p w14:paraId="3921A6B6" w14:textId="6C8E9B9D" w:rsidR="00EA351B" w:rsidRDefault="00EA351B" w:rsidP="0091057C"/>
    <w:p w14:paraId="35F4CA66" w14:textId="7149BF3E" w:rsidR="00663F63" w:rsidRDefault="00663F63" w:rsidP="00663F63">
      <w:pPr>
        <w:pStyle w:val="Heading3"/>
      </w:pPr>
      <w:r>
        <w:lastRenderedPageBreak/>
        <w:t xml:space="preserve">Standard </w:t>
      </w:r>
      <w:r w:rsidRPr="0089741D">
        <w:t>1.2 The service is responsive to victim-survivors’ safety and wellbeing needs.</w:t>
      </w:r>
    </w:p>
    <w:p w14:paraId="265CCD9F" w14:textId="77777777" w:rsidR="00663F63" w:rsidRPr="0089741D" w:rsidRDefault="00663F63" w:rsidP="00663F63">
      <w:r w:rsidRPr="0089741D">
        <w:t>HSS: (2) Access and engagement; (3) Wellbeing</w:t>
      </w:r>
    </w:p>
    <w:p w14:paraId="00C8FCA6" w14:textId="207605AC" w:rsidR="00663F63" w:rsidRDefault="00663F63" w:rsidP="00663F63">
      <w:r w:rsidRPr="0089741D">
        <w:t>QGF</w:t>
      </w:r>
      <w:r>
        <w:t xml:space="preserve"> domains</w:t>
      </w:r>
      <w:r w:rsidRPr="0089741D">
        <w:t xml:space="preserve">: </w:t>
      </w:r>
      <w:r>
        <w:t>Client and family partnerships; Workforce</w:t>
      </w:r>
    </w:p>
    <w:p w14:paraId="6AC44FE7" w14:textId="083A4882" w:rsidR="00663F63" w:rsidRDefault="00663F63" w:rsidP="00663F63"/>
    <w:tbl>
      <w:tblPr>
        <w:tblStyle w:val="TableGridLight"/>
        <w:tblW w:w="21533" w:type="dxa"/>
        <w:tblLook w:val="0020" w:firstRow="1" w:lastRow="0" w:firstColumn="0" w:lastColumn="0" w:noHBand="0" w:noVBand="0"/>
      </w:tblPr>
      <w:tblGrid>
        <w:gridCol w:w="5427"/>
        <w:gridCol w:w="936"/>
        <w:gridCol w:w="3293"/>
        <w:gridCol w:w="3396"/>
        <w:gridCol w:w="2502"/>
        <w:gridCol w:w="2593"/>
        <w:gridCol w:w="3386"/>
      </w:tblGrid>
      <w:tr w:rsidR="00663F63" w:rsidRPr="0089741D" w14:paraId="3A00C10C" w14:textId="77777777" w:rsidTr="00DB13FF">
        <w:trPr>
          <w:trHeight w:val="230"/>
        </w:trPr>
        <w:tc>
          <w:tcPr>
            <w:tcW w:w="5427" w:type="dxa"/>
            <w:shd w:val="clear" w:color="auto" w:fill="F2F2F2" w:themeFill="background1" w:themeFillShade="F2"/>
          </w:tcPr>
          <w:p w14:paraId="71018FC9" w14:textId="77777777" w:rsidR="00663F63" w:rsidRPr="0089741D" w:rsidRDefault="00663F63" w:rsidP="00DB13FF">
            <w:r w:rsidRPr="0089741D">
              <w:t>INDICATORS</w:t>
            </w:r>
          </w:p>
        </w:tc>
        <w:tc>
          <w:tcPr>
            <w:tcW w:w="936" w:type="dxa"/>
            <w:shd w:val="clear" w:color="auto" w:fill="F2F2F2" w:themeFill="background1" w:themeFillShade="F2"/>
          </w:tcPr>
          <w:p w14:paraId="63F601E3" w14:textId="77777777" w:rsidR="00663F63" w:rsidRPr="0089741D" w:rsidRDefault="00663F63" w:rsidP="00DB13FF">
            <w:r w:rsidRPr="0089741D">
              <w:t>RATING</w:t>
            </w:r>
          </w:p>
        </w:tc>
        <w:tc>
          <w:tcPr>
            <w:tcW w:w="3293" w:type="dxa"/>
            <w:shd w:val="clear" w:color="auto" w:fill="F2F2F2" w:themeFill="background1" w:themeFillShade="F2"/>
          </w:tcPr>
          <w:p w14:paraId="6FB342A5" w14:textId="77777777" w:rsidR="00663F63" w:rsidRPr="0089741D" w:rsidRDefault="00663F63" w:rsidP="00DB13FF">
            <w:r w:rsidRPr="0089741D">
              <w:t xml:space="preserve">EVIDENCE </w:t>
            </w:r>
          </w:p>
        </w:tc>
        <w:tc>
          <w:tcPr>
            <w:tcW w:w="3396" w:type="dxa"/>
            <w:shd w:val="clear" w:color="auto" w:fill="F2F2F2" w:themeFill="background1" w:themeFillShade="F2"/>
          </w:tcPr>
          <w:p w14:paraId="4B10A455" w14:textId="77777777" w:rsidR="00663F63" w:rsidRPr="0089741D" w:rsidRDefault="00663F63" w:rsidP="00DB13FF">
            <w:r w:rsidRPr="0089741D">
              <w:t xml:space="preserve">IMPROVEMENT ACTIONS </w:t>
            </w:r>
          </w:p>
        </w:tc>
        <w:tc>
          <w:tcPr>
            <w:tcW w:w="2502" w:type="dxa"/>
            <w:shd w:val="clear" w:color="auto" w:fill="F2F2F2" w:themeFill="background1" w:themeFillShade="F2"/>
          </w:tcPr>
          <w:p w14:paraId="587D3C66" w14:textId="77777777" w:rsidR="00663F63" w:rsidRPr="0089741D" w:rsidRDefault="00663F63" w:rsidP="00DB13FF">
            <w:r w:rsidRPr="0089741D">
              <w:t>TIMEFRAME</w:t>
            </w:r>
          </w:p>
        </w:tc>
        <w:tc>
          <w:tcPr>
            <w:tcW w:w="2593" w:type="dxa"/>
            <w:shd w:val="clear" w:color="auto" w:fill="F2F2F2" w:themeFill="background1" w:themeFillShade="F2"/>
          </w:tcPr>
          <w:p w14:paraId="578307FE" w14:textId="77777777" w:rsidR="00663F63" w:rsidRPr="0089741D" w:rsidRDefault="00663F63" w:rsidP="00DB13FF">
            <w:r w:rsidRPr="0089741D">
              <w:t>PERSON(S) RESPONSIBLE</w:t>
            </w:r>
          </w:p>
        </w:tc>
        <w:tc>
          <w:tcPr>
            <w:tcW w:w="3386" w:type="dxa"/>
            <w:shd w:val="clear" w:color="auto" w:fill="F2F2F2" w:themeFill="background1" w:themeFillShade="F2"/>
          </w:tcPr>
          <w:p w14:paraId="58D68D8A" w14:textId="77777777" w:rsidR="00663F63" w:rsidRPr="0089741D" w:rsidRDefault="00663F63" w:rsidP="00DB13FF">
            <w:r w:rsidRPr="0089741D">
              <w:t>OUTCOME</w:t>
            </w:r>
          </w:p>
        </w:tc>
      </w:tr>
      <w:tr w:rsidR="00663F63" w:rsidRPr="0089741D" w14:paraId="61441ED1" w14:textId="77777777" w:rsidTr="00DB13FF">
        <w:trPr>
          <w:trHeight w:val="585"/>
        </w:trPr>
        <w:tc>
          <w:tcPr>
            <w:tcW w:w="5427" w:type="dxa"/>
            <w:shd w:val="clear" w:color="auto" w:fill="auto"/>
          </w:tcPr>
          <w:p w14:paraId="49FAC200" w14:textId="3D6F2FE9" w:rsidR="00663F63" w:rsidRPr="006F5CE4" w:rsidRDefault="004257F9" w:rsidP="004257F9">
            <w:pPr>
              <w:pStyle w:val="ListParagraph"/>
              <w:numPr>
                <w:ilvl w:val="0"/>
                <w:numId w:val="32"/>
              </w:numPr>
              <w:jc w:val="left"/>
            </w:pPr>
            <w:r>
              <w:t>All family violence contexts are responded to in accordance with risk and need (e.g. intimate partner relationships, family relationship and family-like relationships).</w:t>
            </w:r>
          </w:p>
        </w:tc>
        <w:tc>
          <w:tcPr>
            <w:tcW w:w="936" w:type="dxa"/>
          </w:tcPr>
          <w:p w14:paraId="33F14F45" w14:textId="77777777" w:rsidR="00663F63" w:rsidRPr="0089741D" w:rsidRDefault="00663F63" w:rsidP="00DB13FF"/>
        </w:tc>
        <w:tc>
          <w:tcPr>
            <w:tcW w:w="3293" w:type="dxa"/>
          </w:tcPr>
          <w:p w14:paraId="4B7AD8AA" w14:textId="77777777" w:rsidR="00663F63" w:rsidRPr="0089741D" w:rsidRDefault="00663F63" w:rsidP="00DB13FF"/>
        </w:tc>
        <w:tc>
          <w:tcPr>
            <w:tcW w:w="3396" w:type="dxa"/>
          </w:tcPr>
          <w:p w14:paraId="42D6E05A" w14:textId="77777777" w:rsidR="00663F63" w:rsidRPr="0089741D" w:rsidRDefault="00663F63" w:rsidP="00DB13FF"/>
        </w:tc>
        <w:tc>
          <w:tcPr>
            <w:tcW w:w="2502" w:type="dxa"/>
          </w:tcPr>
          <w:p w14:paraId="4869BA6E" w14:textId="77777777" w:rsidR="00663F63" w:rsidRPr="0089741D" w:rsidRDefault="00663F63" w:rsidP="00DB13FF"/>
        </w:tc>
        <w:tc>
          <w:tcPr>
            <w:tcW w:w="2593" w:type="dxa"/>
          </w:tcPr>
          <w:p w14:paraId="1B21F0B8" w14:textId="77777777" w:rsidR="00663F63" w:rsidRPr="0089741D" w:rsidRDefault="00663F63" w:rsidP="00DB13FF"/>
        </w:tc>
        <w:tc>
          <w:tcPr>
            <w:tcW w:w="3386" w:type="dxa"/>
          </w:tcPr>
          <w:p w14:paraId="001C85C2" w14:textId="77777777" w:rsidR="00663F63" w:rsidRPr="0089741D" w:rsidRDefault="00663F63" w:rsidP="00DB13FF"/>
        </w:tc>
      </w:tr>
      <w:tr w:rsidR="00663F63" w:rsidRPr="0089741D" w14:paraId="61B9724E" w14:textId="77777777" w:rsidTr="00DB13FF">
        <w:trPr>
          <w:trHeight w:val="1216"/>
        </w:trPr>
        <w:tc>
          <w:tcPr>
            <w:tcW w:w="5427" w:type="dxa"/>
            <w:shd w:val="clear" w:color="auto" w:fill="auto"/>
          </w:tcPr>
          <w:p w14:paraId="0D5F32BD" w14:textId="058130F7" w:rsidR="00663F63" w:rsidRPr="006F5CE4" w:rsidRDefault="004257F9" w:rsidP="004257F9">
            <w:pPr>
              <w:pStyle w:val="ListParagraph"/>
              <w:numPr>
                <w:ilvl w:val="0"/>
                <w:numId w:val="32"/>
              </w:numPr>
              <w:autoSpaceDE w:val="0"/>
              <w:autoSpaceDN w:val="0"/>
              <w:adjustRightInd w:val="0"/>
              <w:spacing w:line="240" w:lineRule="auto"/>
              <w:jc w:val="left"/>
            </w:pPr>
            <w:r w:rsidRPr="004257F9">
              <w:t>The impacts of family violence across the victim-survivors’ life domains are responded to through case management support (e.g. housing, finances, justice/legal, health, employment, education, culture/community, children and family relationships).</w:t>
            </w:r>
          </w:p>
        </w:tc>
        <w:tc>
          <w:tcPr>
            <w:tcW w:w="936" w:type="dxa"/>
          </w:tcPr>
          <w:p w14:paraId="182A335C" w14:textId="77777777" w:rsidR="00663F63" w:rsidRPr="0089741D" w:rsidRDefault="00663F63" w:rsidP="00DB13FF"/>
        </w:tc>
        <w:tc>
          <w:tcPr>
            <w:tcW w:w="3293" w:type="dxa"/>
          </w:tcPr>
          <w:p w14:paraId="26011AD4" w14:textId="77777777" w:rsidR="00663F63" w:rsidRPr="0089741D" w:rsidRDefault="00663F63" w:rsidP="00DB13FF"/>
        </w:tc>
        <w:tc>
          <w:tcPr>
            <w:tcW w:w="3396" w:type="dxa"/>
          </w:tcPr>
          <w:p w14:paraId="136EF8A8" w14:textId="77777777" w:rsidR="00663F63" w:rsidRPr="0089741D" w:rsidRDefault="00663F63" w:rsidP="00DB13FF"/>
        </w:tc>
        <w:tc>
          <w:tcPr>
            <w:tcW w:w="2502" w:type="dxa"/>
          </w:tcPr>
          <w:p w14:paraId="2345FD01" w14:textId="77777777" w:rsidR="00663F63" w:rsidRPr="0089741D" w:rsidRDefault="00663F63" w:rsidP="00DB13FF"/>
        </w:tc>
        <w:tc>
          <w:tcPr>
            <w:tcW w:w="2593" w:type="dxa"/>
          </w:tcPr>
          <w:p w14:paraId="4F07DD23" w14:textId="77777777" w:rsidR="00663F63" w:rsidRPr="0089741D" w:rsidRDefault="00663F63" w:rsidP="00DB13FF"/>
        </w:tc>
        <w:tc>
          <w:tcPr>
            <w:tcW w:w="3386" w:type="dxa"/>
          </w:tcPr>
          <w:p w14:paraId="7BBB7661" w14:textId="77777777" w:rsidR="00663F63" w:rsidRPr="0089741D" w:rsidRDefault="00663F63" w:rsidP="00DB13FF"/>
        </w:tc>
      </w:tr>
      <w:tr w:rsidR="00663F63" w:rsidRPr="0089741D" w14:paraId="468DFF42" w14:textId="77777777" w:rsidTr="00DB13FF">
        <w:trPr>
          <w:trHeight w:val="694"/>
        </w:trPr>
        <w:tc>
          <w:tcPr>
            <w:tcW w:w="5427" w:type="dxa"/>
            <w:shd w:val="clear" w:color="auto" w:fill="auto"/>
          </w:tcPr>
          <w:p w14:paraId="2262F8F9" w14:textId="77777777" w:rsidR="00663F63" w:rsidRPr="00A7656F" w:rsidRDefault="00663F63" w:rsidP="00DB13FF">
            <w:pPr>
              <w:pStyle w:val="ListParagraph"/>
              <w:numPr>
                <w:ilvl w:val="0"/>
                <w:numId w:val="32"/>
              </w:numPr>
              <w:jc w:val="left"/>
            </w:pPr>
            <w:r w:rsidRPr="0089741D">
              <w:t>Duty of care is implemented in circumstances where police or other emergency services may be required to mitigate serious risk or other acute health and safety needs.</w:t>
            </w:r>
          </w:p>
        </w:tc>
        <w:tc>
          <w:tcPr>
            <w:tcW w:w="936" w:type="dxa"/>
          </w:tcPr>
          <w:p w14:paraId="49F62BBE" w14:textId="77777777" w:rsidR="00663F63" w:rsidRPr="0089741D" w:rsidRDefault="00663F63" w:rsidP="00DB13FF"/>
        </w:tc>
        <w:tc>
          <w:tcPr>
            <w:tcW w:w="3293" w:type="dxa"/>
          </w:tcPr>
          <w:p w14:paraId="03F8F636" w14:textId="77777777" w:rsidR="00663F63" w:rsidRPr="0089741D" w:rsidRDefault="00663F63" w:rsidP="00DB13FF"/>
        </w:tc>
        <w:tc>
          <w:tcPr>
            <w:tcW w:w="3396" w:type="dxa"/>
          </w:tcPr>
          <w:p w14:paraId="010A3576" w14:textId="77777777" w:rsidR="00663F63" w:rsidRPr="0089741D" w:rsidRDefault="00663F63" w:rsidP="00DB13FF"/>
        </w:tc>
        <w:tc>
          <w:tcPr>
            <w:tcW w:w="2502" w:type="dxa"/>
          </w:tcPr>
          <w:p w14:paraId="7FB19A0C" w14:textId="77777777" w:rsidR="00663F63" w:rsidRPr="0089741D" w:rsidRDefault="00663F63" w:rsidP="00DB13FF"/>
        </w:tc>
        <w:tc>
          <w:tcPr>
            <w:tcW w:w="2593" w:type="dxa"/>
          </w:tcPr>
          <w:p w14:paraId="5B6FC8AD" w14:textId="77777777" w:rsidR="00663F63" w:rsidRPr="0089741D" w:rsidRDefault="00663F63" w:rsidP="00DB13FF"/>
        </w:tc>
        <w:tc>
          <w:tcPr>
            <w:tcW w:w="3386" w:type="dxa"/>
          </w:tcPr>
          <w:p w14:paraId="6A728610" w14:textId="77777777" w:rsidR="00663F63" w:rsidRPr="0089741D" w:rsidRDefault="00663F63" w:rsidP="00DB13FF"/>
        </w:tc>
      </w:tr>
      <w:tr w:rsidR="00663F63" w:rsidRPr="0089741D" w14:paraId="432814F1" w14:textId="77777777" w:rsidTr="00DB13FF">
        <w:trPr>
          <w:trHeight w:val="694"/>
        </w:trPr>
        <w:tc>
          <w:tcPr>
            <w:tcW w:w="5427" w:type="dxa"/>
            <w:shd w:val="clear" w:color="auto" w:fill="auto"/>
          </w:tcPr>
          <w:p w14:paraId="508672F3" w14:textId="1C689F97" w:rsidR="00663F63" w:rsidRPr="004257F9" w:rsidRDefault="004257F9" w:rsidP="004257F9">
            <w:pPr>
              <w:pStyle w:val="ListParagraph"/>
              <w:numPr>
                <w:ilvl w:val="0"/>
                <w:numId w:val="32"/>
              </w:numPr>
              <w:autoSpaceDE w:val="0"/>
              <w:autoSpaceDN w:val="0"/>
              <w:adjustRightInd w:val="0"/>
              <w:spacing w:line="240" w:lineRule="auto"/>
              <w:jc w:val="left"/>
            </w:pPr>
            <w:r w:rsidRPr="004257F9">
              <w:t>Crisis accommodation and refuge options are provided where victim-survivors are unable to stay safely at</w:t>
            </w:r>
            <w:r>
              <w:t xml:space="preserve"> </w:t>
            </w:r>
            <w:r w:rsidRPr="004257F9">
              <w:t>home due to a serious level of risk posed by the perpetrator.</w:t>
            </w:r>
          </w:p>
        </w:tc>
        <w:tc>
          <w:tcPr>
            <w:tcW w:w="936" w:type="dxa"/>
          </w:tcPr>
          <w:p w14:paraId="50F4A44D" w14:textId="77777777" w:rsidR="00663F63" w:rsidRPr="0089741D" w:rsidRDefault="00663F63" w:rsidP="00DB13FF"/>
        </w:tc>
        <w:tc>
          <w:tcPr>
            <w:tcW w:w="3293" w:type="dxa"/>
          </w:tcPr>
          <w:p w14:paraId="544FF783" w14:textId="77777777" w:rsidR="00663F63" w:rsidRPr="0089741D" w:rsidRDefault="00663F63" w:rsidP="00DB13FF"/>
        </w:tc>
        <w:tc>
          <w:tcPr>
            <w:tcW w:w="3396" w:type="dxa"/>
          </w:tcPr>
          <w:p w14:paraId="1AD738C1" w14:textId="77777777" w:rsidR="00663F63" w:rsidRPr="0089741D" w:rsidRDefault="00663F63" w:rsidP="00DB13FF"/>
        </w:tc>
        <w:tc>
          <w:tcPr>
            <w:tcW w:w="2502" w:type="dxa"/>
          </w:tcPr>
          <w:p w14:paraId="4DA907A0" w14:textId="77777777" w:rsidR="00663F63" w:rsidRPr="0089741D" w:rsidRDefault="00663F63" w:rsidP="00DB13FF"/>
        </w:tc>
        <w:tc>
          <w:tcPr>
            <w:tcW w:w="2593" w:type="dxa"/>
          </w:tcPr>
          <w:p w14:paraId="689651D9" w14:textId="77777777" w:rsidR="00663F63" w:rsidRPr="0089741D" w:rsidRDefault="00663F63" w:rsidP="00DB13FF"/>
        </w:tc>
        <w:tc>
          <w:tcPr>
            <w:tcW w:w="3386" w:type="dxa"/>
          </w:tcPr>
          <w:p w14:paraId="69CEF208" w14:textId="77777777" w:rsidR="00663F63" w:rsidRPr="0089741D" w:rsidRDefault="00663F63" w:rsidP="00DB13FF"/>
        </w:tc>
      </w:tr>
      <w:tr w:rsidR="00663F63" w:rsidRPr="0089741D" w14:paraId="2CA3B271" w14:textId="77777777" w:rsidTr="00DB13FF">
        <w:trPr>
          <w:trHeight w:val="779"/>
        </w:trPr>
        <w:tc>
          <w:tcPr>
            <w:tcW w:w="5427" w:type="dxa"/>
            <w:shd w:val="clear" w:color="auto" w:fill="auto"/>
          </w:tcPr>
          <w:p w14:paraId="73B83AF0" w14:textId="4DD65A37" w:rsidR="00663F63" w:rsidRPr="006F5CE4" w:rsidRDefault="004257F9" w:rsidP="004257F9">
            <w:pPr>
              <w:pStyle w:val="ListParagraph"/>
              <w:numPr>
                <w:ilvl w:val="0"/>
                <w:numId w:val="32"/>
              </w:numPr>
              <w:autoSpaceDE w:val="0"/>
              <w:autoSpaceDN w:val="0"/>
              <w:adjustRightInd w:val="0"/>
              <w:spacing w:line="240" w:lineRule="auto"/>
              <w:jc w:val="left"/>
            </w:pPr>
            <w:r w:rsidRPr="004257F9">
              <w:t>Processes are in place to assist victim-survivors in obtaining additional security measures for their person or property.</w:t>
            </w:r>
          </w:p>
        </w:tc>
        <w:tc>
          <w:tcPr>
            <w:tcW w:w="936" w:type="dxa"/>
          </w:tcPr>
          <w:p w14:paraId="7DB9FDC6" w14:textId="77777777" w:rsidR="00663F63" w:rsidRPr="0089741D" w:rsidRDefault="00663F63" w:rsidP="00DB13FF"/>
        </w:tc>
        <w:tc>
          <w:tcPr>
            <w:tcW w:w="3293" w:type="dxa"/>
          </w:tcPr>
          <w:p w14:paraId="6349870B" w14:textId="77777777" w:rsidR="00663F63" w:rsidRPr="0089741D" w:rsidRDefault="00663F63" w:rsidP="00DB13FF"/>
        </w:tc>
        <w:tc>
          <w:tcPr>
            <w:tcW w:w="3396" w:type="dxa"/>
          </w:tcPr>
          <w:p w14:paraId="16CEA36A" w14:textId="77777777" w:rsidR="00663F63" w:rsidRPr="0089741D" w:rsidRDefault="00663F63" w:rsidP="00DB13FF"/>
        </w:tc>
        <w:tc>
          <w:tcPr>
            <w:tcW w:w="2502" w:type="dxa"/>
          </w:tcPr>
          <w:p w14:paraId="105FDB00" w14:textId="77777777" w:rsidR="00663F63" w:rsidRPr="0089741D" w:rsidRDefault="00663F63" w:rsidP="00DB13FF"/>
        </w:tc>
        <w:tc>
          <w:tcPr>
            <w:tcW w:w="2593" w:type="dxa"/>
          </w:tcPr>
          <w:p w14:paraId="48613909" w14:textId="77777777" w:rsidR="00663F63" w:rsidRPr="0089741D" w:rsidRDefault="00663F63" w:rsidP="00DB13FF"/>
        </w:tc>
        <w:tc>
          <w:tcPr>
            <w:tcW w:w="3386" w:type="dxa"/>
          </w:tcPr>
          <w:p w14:paraId="54D5E449" w14:textId="77777777" w:rsidR="00663F63" w:rsidRPr="0089741D" w:rsidRDefault="00663F63" w:rsidP="00DB13FF"/>
        </w:tc>
      </w:tr>
      <w:tr w:rsidR="00663F63" w:rsidRPr="0089741D" w14:paraId="1E5861E3" w14:textId="77777777" w:rsidTr="00DB13FF">
        <w:trPr>
          <w:trHeight w:val="424"/>
        </w:trPr>
        <w:tc>
          <w:tcPr>
            <w:tcW w:w="5427" w:type="dxa"/>
            <w:shd w:val="clear" w:color="auto" w:fill="auto"/>
          </w:tcPr>
          <w:p w14:paraId="1F015E70" w14:textId="7F27C070" w:rsidR="00663F63" w:rsidRPr="006F5CE4" w:rsidRDefault="004257F9" w:rsidP="004257F9">
            <w:pPr>
              <w:pStyle w:val="ListParagraph"/>
              <w:numPr>
                <w:ilvl w:val="0"/>
                <w:numId w:val="32"/>
              </w:numPr>
              <w:autoSpaceDE w:val="0"/>
              <w:autoSpaceDN w:val="0"/>
              <w:adjustRightInd w:val="0"/>
              <w:spacing w:line="240" w:lineRule="auto"/>
              <w:jc w:val="left"/>
            </w:pPr>
            <w:r w:rsidRPr="004257F9">
              <w:t>Processes are in place to support victim-survivors</w:t>
            </w:r>
            <w:r>
              <w:t xml:space="preserve"> </w:t>
            </w:r>
            <w:r w:rsidRPr="004257F9">
              <w:t>to access justice and legal responses to enhance protection from family violence, if desired.</w:t>
            </w:r>
          </w:p>
        </w:tc>
        <w:tc>
          <w:tcPr>
            <w:tcW w:w="936" w:type="dxa"/>
          </w:tcPr>
          <w:p w14:paraId="1290A9CF" w14:textId="77777777" w:rsidR="00663F63" w:rsidRPr="0089741D" w:rsidRDefault="00663F63" w:rsidP="00DB13FF"/>
        </w:tc>
        <w:tc>
          <w:tcPr>
            <w:tcW w:w="3293" w:type="dxa"/>
          </w:tcPr>
          <w:p w14:paraId="52CF29BD" w14:textId="77777777" w:rsidR="00663F63" w:rsidRPr="0089741D" w:rsidRDefault="00663F63" w:rsidP="00DB13FF"/>
        </w:tc>
        <w:tc>
          <w:tcPr>
            <w:tcW w:w="3396" w:type="dxa"/>
          </w:tcPr>
          <w:p w14:paraId="708112B2" w14:textId="77777777" w:rsidR="00663F63" w:rsidRPr="0089741D" w:rsidRDefault="00663F63" w:rsidP="00DB13FF"/>
        </w:tc>
        <w:tc>
          <w:tcPr>
            <w:tcW w:w="2502" w:type="dxa"/>
          </w:tcPr>
          <w:p w14:paraId="22B72B1B" w14:textId="77777777" w:rsidR="00663F63" w:rsidRPr="0089741D" w:rsidRDefault="00663F63" w:rsidP="00DB13FF"/>
        </w:tc>
        <w:tc>
          <w:tcPr>
            <w:tcW w:w="2593" w:type="dxa"/>
          </w:tcPr>
          <w:p w14:paraId="67FD68C6" w14:textId="77777777" w:rsidR="00663F63" w:rsidRPr="0089741D" w:rsidRDefault="00663F63" w:rsidP="00DB13FF"/>
        </w:tc>
        <w:tc>
          <w:tcPr>
            <w:tcW w:w="3386" w:type="dxa"/>
          </w:tcPr>
          <w:p w14:paraId="7FA95615" w14:textId="77777777" w:rsidR="00663F63" w:rsidRPr="0089741D" w:rsidRDefault="00663F63" w:rsidP="00DB13FF"/>
        </w:tc>
      </w:tr>
    </w:tbl>
    <w:p w14:paraId="3EFC52CE" w14:textId="7EEA0C7A" w:rsidR="00663F63" w:rsidRDefault="00663F63" w:rsidP="00663F63"/>
    <w:p w14:paraId="73ED8F2A" w14:textId="75AE7EEB" w:rsidR="00663F63" w:rsidRDefault="00663F63" w:rsidP="00663F63"/>
    <w:p w14:paraId="4247F4A8" w14:textId="3F3B2FB7" w:rsidR="004257F9" w:rsidRDefault="004257F9" w:rsidP="004257F9">
      <w:pPr>
        <w:pStyle w:val="Heading3"/>
      </w:pPr>
      <w:r>
        <w:t xml:space="preserve">Standard </w:t>
      </w:r>
      <w:r w:rsidRPr="00C92142">
        <w:t>1.3 The service is trauma-informed and facilitates physical, emotional and cultural safety.</w:t>
      </w:r>
    </w:p>
    <w:p w14:paraId="4D467579" w14:textId="77777777" w:rsidR="004257F9" w:rsidRPr="0089741D" w:rsidRDefault="004257F9" w:rsidP="004257F9">
      <w:r w:rsidRPr="0089741D">
        <w:t>HSS: (2) Access and engagement; (3) Wellbeing</w:t>
      </w:r>
    </w:p>
    <w:p w14:paraId="6D3960E0" w14:textId="231585CA" w:rsidR="004257F9" w:rsidRDefault="004257F9" w:rsidP="004257F9">
      <w:r w:rsidRPr="0089741D">
        <w:t>QGF</w:t>
      </w:r>
      <w:r>
        <w:t xml:space="preserve"> domains</w:t>
      </w:r>
      <w:r w:rsidRPr="0089741D">
        <w:t xml:space="preserve">: </w:t>
      </w:r>
      <w:r>
        <w:t>Client and family partnerships; Workforce</w:t>
      </w:r>
    </w:p>
    <w:p w14:paraId="3B5FBF58" w14:textId="77777777" w:rsidR="004257F9" w:rsidRDefault="004257F9" w:rsidP="00663F63"/>
    <w:tbl>
      <w:tblPr>
        <w:tblStyle w:val="TableGridLight"/>
        <w:tblW w:w="21533" w:type="dxa"/>
        <w:tblLook w:val="0020" w:firstRow="1" w:lastRow="0" w:firstColumn="0" w:lastColumn="0" w:noHBand="0" w:noVBand="0"/>
      </w:tblPr>
      <w:tblGrid>
        <w:gridCol w:w="5427"/>
        <w:gridCol w:w="936"/>
        <w:gridCol w:w="3293"/>
        <w:gridCol w:w="3396"/>
        <w:gridCol w:w="2502"/>
        <w:gridCol w:w="2593"/>
        <w:gridCol w:w="3386"/>
      </w:tblGrid>
      <w:tr w:rsidR="00663F63" w:rsidRPr="0089741D" w14:paraId="2BB9F01E" w14:textId="77777777" w:rsidTr="00DB13FF">
        <w:trPr>
          <w:trHeight w:val="127"/>
        </w:trPr>
        <w:tc>
          <w:tcPr>
            <w:tcW w:w="5427" w:type="dxa"/>
            <w:shd w:val="clear" w:color="auto" w:fill="F2F2F2" w:themeFill="background1" w:themeFillShade="F2"/>
          </w:tcPr>
          <w:p w14:paraId="1FF11DE6" w14:textId="77777777" w:rsidR="00663F63" w:rsidRPr="0089741D" w:rsidRDefault="00663F63" w:rsidP="00DB13FF">
            <w:r w:rsidRPr="0089741D">
              <w:t>INDICATORS</w:t>
            </w:r>
          </w:p>
        </w:tc>
        <w:tc>
          <w:tcPr>
            <w:tcW w:w="936" w:type="dxa"/>
            <w:shd w:val="clear" w:color="auto" w:fill="F2F2F2" w:themeFill="background1" w:themeFillShade="F2"/>
          </w:tcPr>
          <w:p w14:paraId="0014D53A" w14:textId="77777777" w:rsidR="00663F63" w:rsidRPr="0089741D" w:rsidRDefault="00663F63" w:rsidP="00DB13FF">
            <w:r w:rsidRPr="0089741D">
              <w:t>RATING</w:t>
            </w:r>
          </w:p>
        </w:tc>
        <w:tc>
          <w:tcPr>
            <w:tcW w:w="3293" w:type="dxa"/>
            <w:shd w:val="clear" w:color="auto" w:fill="F2F2F2" w:themeFill="background1" w:themeFillShade="F2"/>
          </w:tcPr>
          <w:p w14:paraId="3A44CF4A" w14:textId="77777777" w:rsidR="00663F63" w:rsidRPr="0089741D" w:rsidRDefault="00663F63" w:rsidP="00DB13FF">
            <w:r w:rsidRPr="0089741D">
              <w:t xml:space="preserve">EVIDENCE </w:t>
            </w:r>
          </w:p>
        </w:tc>
        <w:tc>
          <w:tcPr>
            <w:tcW w:w="3396" w:type="dxa"/>
            <w:shd w:val="clear" w:color="auto" w:fill="F2F2F2" w:themeFill="background1" w:themeFillShade="F2"/>
          </w:tcPr>
          <w:p w14:paraId="7CD10CB8" w14:textId="77777777" w:rsidR="00663F63" w:rsidRPr="0089741D" w:rsidRDefault="00663F63" w:rsidP="00DB13FF">
            <w:r w:rsidRPr="0089741D">
              <w:t xml:space="preserve">IMPROVEMENT ACTIONS </w:t>
            </w:r>
          </w:p>
        </w:tc>
        <w:tc>
          <w:tcPr>
            <w:tcW w:w="2502" w:type="dxa"/>
            <w:shd w:val="clear" w:color="auto" w:fill="F2F2F2" w:themeFill="background1" w:themeFillShade="F2"/>
          </w:tcPr>
          <w:p w14:paraId="7AE1D737" w14:textId="77777777" w:rsidR="00663F63" w:rsidRPr="0089741D" w:rsidRDefault="00663F63" w:rsidP="00DB13FF">
            <w:r w:rsidRPr="0089741D">
              <w:t>TIMEFRAME</w:t>
            </w:r>
          </w:p>
        </w:tc>
        <w:tc>
          <w:tcPr>
            <w:tcW w:w="2593" w:type="dxa"/>
            <w:shd w:val="clear" w:color="auto" w:fill="F2F2F2" w:themeFill="background1" w:themeFillShade="F2"/>
          </w:tcPr>
          <w:p w14:paraId="450A5A3B" w14:textId="77777777" w:rsidR="00663F63" w:rsidRPr="0089741D" w:rsidRDefault="00663F63" w:rsidP="00DB13FF">
            <w:r w:rsidRPr="0089741D">
              <w:t>PERSON(S) RESPONSIBLE</w:t>
            </w:r>
          </w:p>
        </w:tc>
        <w:tc>
          <w:tcPr>
            <w:tcW w:w="3386" w:type="dxa"/>
            <w:shd w:val="clear" w:color="auto" w:fill="F2F2F2" w:themeFill="background1" w:themeFillShade="F2"/>
          </w:tcPr>
          <w:p w14:paraId="39347003" w14:textId="77777777" w:rsidR="00663F63" w:rsidRPr="0089741D" w:rsidRDefault="00663F63" w:rsidP="00DB13FF">
            <w:r w:rsidRPr="0089741D">
              <w:t>OUTCOME</w:t>
            </w:r>
          </w:p>
        </w:tc>
      </w:tr>
      <w:tr w:rsidR="00663F63" w:rsidRPr="0089741D" w14:paraId="561C26AD" w14:textId="77777777" w:rsidTr="00DB13FF">
        <w:trPr>
          <w:trHeight w:val="710"/>
        </w:trPr>
        <w:tc>
          <w:tcPr>
            <w:tcW w:w="5427" w:type="dxa"/>
            <w:shd w:val="clear" w:color="auto" w:fill="auto"/>
          </w:tcPr>
          <w:p w14:paraId="173D7E40" w14:textId="77777777" w:rsidR="00663F63" w:rsidRPr="0089741D" w:rsidRDefault="00663F63" w:rsidP="004257F9">
            <w:pPr>
              <w:pStyle w:val="ListParagraph"/>
              <w:numPr>
                <w:ilvl w:val="0"/>
                <w:numId w:val="27"/>
              </w:numPr>
              <w:jc w:val="left"/>
            </w:pPr>
            <w:r w:rsidRPr="0089741D">
              <w:t>The service is welcoming, approachable and appropriate for victim-survivors to make confidential disclosures and receive emotional support.</w:t>
            </w:r>
          </w:p>
        </w:tc>
        <w:tc>
          <w:tcPr>
            <w:tcW w:w="936" w:type="dxa"/>
          </w:tcPr>
          <w:p w14:paraId="2D211E70" w14:textId="77777777" w:rsidR="00663F63" w:rsidRPr="0089741D" w:rsidRDefault="00663F63" w:rsidP="00DB13FF"/>
        </w:tc>
        <w:tc>
          <w:tcPr>
            <w:tcW w:w="3293" w:type="dxa"/>
          </w:tcPr>
          <w:p w14:paraId="6A998993" w14:textId="77777777" w:rsidR="00663F63" w:rsidRPr="0089741D" w:rsidRDefault="00663F63" w:rsidP="00DB13FF"/>
        </w:tc>
        <w:tc>
          <w:tcPr>
            <w:tcW w:w="3396" w:type="dxa"/>
          </w:tcPr>
          <w:p w14:paraId="1F3FB2E8" w14:textId="77777777" w:rsidR="00663F63" w:rsidRPr="0089741D" w:rsidRDefault="00663F63" w:rsidP="00DB13FF"/>
        </w:tc>
        <w:tc>
          <w:tcPr>
            <w:tcW w:w="2502" w:type="dxa"/>
          </w:tcPr>
          <w:p w14:paraId="69BF3456" w14:textId="77777777" w:rsidR="00663F63" w:rsidRPr="0089741D" w:rsidRDefault="00663F63" w:rsidP="00DB13FF"/>
        </w:tc>
        <w:tc>
          <w:tcPr>
            <w:tcW w:w="2593" w:type="dxa"/>
          </w:tcPr>
          <w:p w14:paraId="6747C113" w14:textId="77777777" w:rsidR="00663F63" w:rsidRPr="0089741D" w:rsidRDefault="00663F63" w:rsidP="00DB13FF"/>
        </w:tc>
        <w:tc>
          <w:tcPr>
            <w:tcW w:w="3386" w:type="dxa"/>
          </w:tcPr>
          <w:p w14:paraId="46C6DD14" w14:textId="77777777" w:rsidR="00663F63" w:rsidRPr="0089741D" w:rsidRDefault="00663F63" w:rsidP="00DB13FF"/>
        </w:tc>
      </w:tr>
      <w:tr w:rsidR="00663F63" w:rsidRPr="0089741D" w14:paraId="47A99897" w14:textId="77777777" w:rsidTr="00DB13FF">
        <w:trPr>
          <w:trHeight w:val="1182"/>
        </w:trPr>
        <w:tc>
          <w:tcPr>
            <w:tcW w:w="5427" w:type="dxa"/>
            <w:shd w:val="clear" w:color="auto" w:fill="auto"/>
          </w:tcPr>
          <w:p w14:paraId="11048F98" w14:textId="251CDF97" w:rsidR="00663F63" w:rsidRPr="00C92142" w:rsidRDefault="00DA2150" w:rsidP="00DA2150">
            <w:pPr>
              <w:pStyle w:val="ListParagraph"/>
              <w:numPr>
                <w:ilvl w:val="0"/>
                <w:numId w:val="27"/>
              </w:numPr>
              <w:autoSpaceDE w:val="0"/>
              <w:autoSpaceDN w:val="0"/>
              <w:adjustRightInd w:val="0"/>
              <w:spacing w:line="240" w:lineRule="auto"/>
              <w:jc w:val="left"/>
            </w:pPr>
            <w:r w:rsidRPr="00DA2150">
              <w:t>The service is designed to prioritise victim-survivors</w:t>
            </w:r>
            <w:r>
              <w:t xml:space="preserve"> </w:t>
            </w:r>
            <w:r w:rsidRPr="00DA2150">
              <w:t>physical, emotional and cultural safety (e.g. in the</w:t>
            </w:r>
            <w:r>
              <w:t xml:space="preserve"> </w:t>
            </w:r>
            <w:r w:rsidRPr="00DA2150">
              <w:t>service environment, through engagement approaches, and case management practices.</w:t>
            </w:r>
            <w:r w:rsidR="00DA2C76">
              <w:t>)</w:t>
            </w:r>
          </w:p>
        </w:tc>
        <w:tc>
          <w:tcPr>
            <w:tcW w:w="936" w:type="dxa"/>
          </w:tcPr>
          <w:p w14:paraId="77057E67" w14:textId="77777777" w:rsidR="00663F63" w:rsidRPr="0089741D" w:rsidRDefault="00663F63" w:rsidP="00DB13FF"/>
        </w:tc>
        <w:tc>
          <w:tcPr>
            <w:tcW w:w="3293" w:type="dxa"/>
          </w:tcPr>
          <w:p w14:paraId="28CF1A7F" w14:textId="77777777" w:rsidR="00663F63" w:rsidRPr="0089741D" w:rsidRDefault="00663F63" w:rsidP="00DB13FF"/>
        </w:tc>
        <w:tc>
          <w:tcPr>
            <w:tcW w:w="3396" w:type="dxa"/>
          </w:tcPr>
          <w:p w14:paraId="2C385553" w14:textId="77777777" w:rsidR="00663F63" w:rsidRPr="0089741D" w:rsidRDefault="00663F63" w:rsidP="00DB13FF"/>
        </w:tc>
        <w:tc>
          <w:tcPr>
            <w:tcW w:w="2502" w:type="dxa"/>
          </w:tcPr>
          <w:p w14:paraId="082E2D2B" w14:textId="77777777" w:rsidR="00663F63" w:rsidRPr="0089741D" w:rsidRDefault="00663F63" w:rsidP="00DB13FF"/>
        </w:tc>
        <w:tc>
          <w:tcPr>
            <w:tcW w:w="2593" w:type="dxa"/>
          </w:tcPr>
          <w:p w14:paraId="6E878031" w14:textId="77777777" w:rsidR="00663F63" w:rsidRPr="0089741D" w:rsidRDefault="00663F63" w:rsidP="00DB13FF"/>
        </w:tc>
        <w:tc>
          <w:tcPr>
            <w:tcW w:w="3386" w:type="dxa"/>
          </w:tcPr>
          <w:p w14:paraId="5F4DD322" w14:textId="77777777" w:rsidR="00663F63" w:rsidRPr="0089741D" w:rsidRDefault="00663F63" w:rsidP="00DB13FF"/>
        </w:tc>
      </w:tr>
      <w:tr w:rsidR="00663F63" w:rsidRPr="0089741D" w14:paraId="09232646" w14:textId="77777777" w:rsidTr="00DB13FF">
        <w:trPr>
          <w:trHeight w:val="603"/>
        </w:trPr>
        <w:tc>
          <w:tcPr>
            <w:tcW w:w="5427" w:type="dxa"/>
            <w:shd w:val="clear" w:color="auto" w:fill="auto"/>
          </w:tcPr>
          <w:p w14:paraId="504FBF82" w14:textId="77777777" w:rsidR="00663F63" w:rsidRPr="0089741D" w:rsidRDefault="00663F63" w:rsidP="004257F9">
            <w:pPr>
              <w:pStyle w:val="ListParagraph"/>
              <w:numPr>
                <w:ilvl w:val="0"/>
                <w:numId w:val="27"/>
              </w:numPr>
              <w:jc w:val="left"/>
            </w:pPr>
            <w:r w:rsidRPr="0089741D">
              <w:t>Potential safety risks and hazards for clients and staff are regularly identified, monitored and mitigated.</w:t>
            </w:r>
          </w:p>
        </w:tc>
        <w:tc>
          <w:tcPr>
            <w:tcW w:w="936" w:type="dxa"/>
          </w:tcPr>
          <w:p w14:paraId="1E72B239" w14:textId="77777777" w:rsidR="00663F63" w:rsidRPr="0089741D" w:rsidRDefault="00663F63" w:rsidP="00DB13FF"/>
        </w:tc>
        <w:tc>
          <w:tcPr>
            <w:tcW w:w="3293" w:type="dxa"/>
          </w:tcPr>
          <w:p w14:paraId="312BFFF0" w14:textId="77777777" w:rsidR="00663F63" w:rsidRPr="0089741D" w:rsidRDefault="00663F63" w:rsidP="00DB13FF"/>
        </w:tc>
        <w:tc>
          <w:tcPr>
            <w:tcW w:w="3396" w:type="dxa"/>
          </w:tcPr>
          <w:p w14:paraId="00065BC1" w14:textId="77777777" w:rsidR="00663F63" w:rsidRPr="0089741D" w:rsidRDefault="00663F63" w:rsidP="00DB13FF"/>
        </w:tc>
        <w:tc>
          <w:tcPr>
            <w:tcW w:w="2502" w:type="dxa"/>
          </w:tcPr>
          <w:p w14:paraId="0EFAAC1F" w14:textId="77777777" w:rsidR="00663F63" w:rsidRPr="0089741D" w:rsidRDefault="00663F63" w:rsidP="00DB13FF"/>
        </w:tc>
        <w:tc>
          <w:tcPr>
            <w:tcW w:w="2593" w:type="dxa"/>
          </w:tcPr>
          <w:p w14:paraId="41A9CCCC" w14:textId="77777777" w:rsidR="00663F63" w:rsidRPr="0089741D" w:rsidRDefault="00663F63" w:rsidP="00DB13FF"/>
        </w:tc>
        <w:tc>
          <w:tcPr>
            <w:tcW w:w="3386" w:type="dxa"/>
          </w:tcPr>
          <w:p w14:paraId="2A2283B3" w14:textId="77777777" w:rsidR="00663F63" w:rsidRPr="0089741D" w:rsidRDefault="00663F63" w:rsidP="00DB13FF"/>
        </w:tc>
      </w:tr>
      <w:tr w:rsidR="00663F63" w:rsidRPr="0089741D" w14:paraId="515347E7" w14:textId="77777777" w:rsidTr="00DB13FF">
        <w:trPr>
          <w:trHeight w:val="663"/>
        </w:trPr>
        <w:tc>
          <w:tcPr>
            <w:tcW w:w="5427" w:type="dxa"/>
            <w:shd w:val="clear" w:color="auto" w:fill="auto"/>
          </w:tcPr>
          <w:p w14:paraId="24800068" w14:textId="77777777" w:rsidR="00663F63" w:rsidRPr="00A7656F" w:rsidRDefault="00663F63" w:rsidP="004257F9">
            <w:pPr>
              <w:pStyle w:val="ListParagraph"/>
              <w:numPr>
                <w:ilvl w:val="0"/>
                <w:numId w:val="27"/>
              </w:numPr>
              <w:jc w:val="left"/>
            </w:pPr>
            <w:r w:rsidRPr="00C92142">
              <w:t>Misconduct, discrimination, bullying, abuse, and reportable and critical incidents are managed according to government standards and service contract requirements.</w:t>
            </w:r>
          </w:p>
        </w:tc>
        <w:tc>
          <w:tcPr>
            <w:tcW w:w="936" w:type="dxa"/>
          </w:tcPr>
          <w:p w14:paraId="5D9C595D" w14:textId="77777777" w:rsidR="00663F63" w:rsidRPr="0089741D" w:rsidRDefault="00663F63" w:rsidP="00DB13FF"/>
        </w:tc>
        <w:tc>
          <w:tcPr>
            <w:tcW w:w="3293" w:type="dxa"/>
          </w:tcPr>
          <w:p w14:paraId="521D3ED8" w14:textId="77777777" w:rsidR="00663F63" w:rsidRPr="0089741D" w:rsidRDefault="00663F63" w:rsidP="00DB13FF"/>
        </w:tc>
        <w:tc>
          <w:tcPr>
            <w:tcW w:w="3396" w:type="dxa"/>
          </w:tcPr>
          <w:p w14:paraId="4700BA30" w14:textId="77777777" w:rsidR="00663F63" w:rsidRPr="0089741D" w:rsidRDefault="00663F63" w:rsidP="00DB13FF"/>
        </w:tc>
        <w:tc>
          <w:tcPr>
            <w:tcW w:w="2502" w:type="dxa"/>
          </w:tcPr>
          <w:p w14:paraId="01F3957D" w14:textId="77777777" w:rsidR="00663F63" w:rsidRPr="0089741D" w:rsidRDefault="00663F63" w:rsidP="00DB13FF"/>
        </w:tc>
        <w:tc>
          <w:tcPr>
            <w:tcW w:w="2593" w:type="dxa"/>
          </w:tcPr>
          <w:p w14:paraId="78BA8BE9" w14:textId="77777777" w:rsidR="00663F63" w:rsidRPr="0089741D" w:rsidRDefault="00663F63" w:rsidP="00DB13FF"/>
        </w:tc>
        <w:tc>
          <w:tcPr>
            <w:tcW w:w="3386" w:type="dxa"/>
          </w:tcPr>
          <w:p w14:paraId="27966FFF" w14:textId="77777777" w:rsidR="00663F63" w:rsidRPr="0089741D" w:rsidRDefault="00663F63" w:rsidP="00DB13FF"/>
        </w:tc>
      </w:tr>
    </w:tbl>
    <w:p w14:paraId="677D850F" w14:textId="77777777" w:rsidR="00663F63" w:rsidRDefault="00663F63" w:rsidP="00663F63"/>
    <w:p w14:paraId="10578381" w14:textId="2E6FCF44" w:rsidR="00663F63" w:rsidRDefault="00663F63" w:rsidP="0091057C"/>
    <w:p w14:paraId="507EF055" w14:textId="77777777" w:rsidR="00FD4A08" w:rsidRDefault="00FD4A08" w:rsidP="00FD4A08">
      <w:pPr>
        <w:pStyle w:val="Heading2"/>
      </w:pPr>
      <w:r w:rsidRPr="0089741D">
        <w:lastRenderedPageBreak/>
        <w:t xml:space="preserve">Principle 2: Person-centred Empowerment </w:t>
      </w:r>
    </w:p>
    <w:p w14:paraId="126F3CDF" w14:textId="7881538C" w:rsidR="00FD4A08" w:rsidRDefault="00FD4A08" w:rsidP="00FD4A08">
      <w:pPr>
        <w:pStyle w:val="Heading3"/>
      </w:pPr>
      <w:r>
        <w:t xml:space="preserve">Standard </w:t>
      </w:r>
      <w:r w:rsidRPr="0089741D">
        <w:t>2.1 The service provides a person-centred empowerment approach.</w:t>
      </w:r>
    </w:p>
    <w:p w14:paraId="53FE8A7B" w14:textId="77777777" w:rsidR="00FD4A08" w:rsidRPr="0089741D" w:rsidRDefault="00FD4A08" w:rsidP="00FD4A08">
      <w:r w:rsidRPr="0089741D">
        <w:t>HSS: (1) Empowerment; (3) Wellbeing; (4) Participation</w:t>
      </w:r>
    </w:p>
    <w:p w14:paraId="67FC4561" w14:textId="2197E664" w:rsidR="00FD4A08" w:rsidRDefault="00FD4A08" w:rsidP="00FD4A08">
      <w:r w:rsidRPr="0089741D">
        <w:t>QGF</w:t>
      </w:r>
      <w:r>
        <w:t xml:space="preserve"> domains</w:t>
      </w:r>
      <w:r w:rsidRPr="0089741D">
        <w:t>: Client and family partnerships</w:t>
      </w:r>
      <w:r>
        <w:t>; Workforce; Best practice</w:t>
      </w:r>
    </w:p>
    <w:p w14:paraId="5B6E53E8" w14:textId="3295D35C" w:rsidR="00FD4A08" w:rsidRDefault="00FD4A08" w:rsidP="00FD4A08"/>
    <w:tbl>
      <w:tblPr>
        <w:tblStyle w:val="TableGridLight"/>
        <w:tblW w:w="21533" w:type="dxa"/>
        <w:tblLook w:val="0020" w:firstRow="1" w:lastRow="0" w:firstColumn="0" w:lastColumn="0" w:noHBand="0" w:noVBand="0"/>
      </w:tblPr>
      <w:tblGrid>
        <w:gridCol w:w="5427"/>
        <w:gridCol w:w="936"/>
        <w:gridCol w:w="3293"/>
        <w:gridCol w:w="3396"/>
        <w:gridCol w:w="2502"/>
        <w:gridCol w:w="2593"/>
        <w:gridCol w:w="3386"/>
      </w:tblGrid>
      <w:tr w:rsidR="00FD4A08" w:rsidRPr="0089741D" w14:paraId="2200BF38" w14:textId="77777777" w:rsidTr="00DB13FF">
        <w:trPr>
          <w:trHeight w:val="70"/>
        </w:trPr>
        <w:tc>
          <w:tcPr>
            <w:tcW w:w="5427" w:type="dxa"/>
            <w:shd w:val="clear" w:color="auto" w:fill="F2F2F2" w:themeFill="background1" w:themeFillShade="F2"/>
          </w:tcPr>
          <w:p w14:paraId="2557CC71" w14:textId="77777777" w:rsidR="00FD4A08" w:rsidRPr="0089741D" w:rsidRDefault="00FD4A08" w:rsidP="00DB13FF">
            <w:r w:rsidRPr="0089741D">
              <w:t>INDICATORS</w:t>
            </w:r>
          </w:p>
        </w:tc>
        <w:tc>
          <w:tcPr>
            <w:tcW w:w="936" w:type="dxa"/>
            <w:shd w:val="clear" w:color="auto" w:fill="F2F2F2" w:themeFill="background1" w:themeFillShade="F2"/>
          </w:tcPr>
          <w:p w14:paraId="344AD3BB" w14:textId="77777777" w:rsidR="00FD4A08" w:rsidRPr="0089741D" w:rsidRDefault="00FD4A08" w:rsidP="00DB13FF">
            <w:r w:rsidRPr="0089741D">
              <w:t>RATING</w:t>
            </w:r>
          </w:p>
        </w:tc>
        <w:tc>
          <w:tcPr>
            <w:tcW w:w="3293" w:type="dxa"/>
            <w:shd w:val="clear" w:color="auto" w:fill="F2F2F2" w:themeFill="background1" w:themeFillShade="F2"/>
          </w:tcPr>
          <w:p w14:paraId="35A98E1E" w14:textId="77777777" w:rsidR="00FD4A08" w:rsidRPr="0089741D" w:rsidRDefault="00FD4A08" w:rsidP="00DB13FF">
            <w:r w:rsidRPr="0089741D">
              <w:t xml:space="preserve">EVIDENCE </w:t>
            </w:r>
          </w:p>
        </w:tc>
        <w:tc>
          <w:tcPr>
            <w:tcW w:w="3396" w:type="dxa"/>
            <w:shd w:val="clear" w:color="auto" w:fill="F2F2F2" w:themeFill="background1" w:themeFillShade="F2"/>
          </w:tcPr>
          <w:p w14:paraId="44BDDEED" w14:textId="77777777" w:rsidR="00FD4A08" w:rsidRPr="0089741D" w:rsidRDefault="00FD4A08" w:rsidP="00DB13FF">
            <w:r w:rsidRPr="0089741D">
              <w:t xml:space="preserve">IMPROVEMENT ACTIONS </w:t>
            </w:r>
          </w:p>
        </w:tc>
        <w:tc>
          <w:tcPr>
            <w:tcW w:w="2502" w:type="dxa"/>
            <w:shd w:val="clear" w:color="auto" w:fill="F2F2F2" w:themeFill="background1" w:themeFillShade="F2"/>
          </w:tcPr>
          <w:p w14:paraId="431E159F" w14:textId="77777777" w:rsidR="00FD4A08" w:rsidRPr="0089741D" w:rsidRDefault="00FD4A08" w:rsidP="00DB13FF">
            <w:r w:rsidRPr="0089741D">
              <w:t>TIMEFRAME</w:t>
            </w:r>
          </w:p>
        </w:tc>
        <w:tc>
          <w:tcPr>
            <w:tcW w:w="2593" w:type="dxa"/>
            <w:shd w:val="clear" w:color="auto" w:fill="F2F2F2" w:themeFill="background1" w:themeFillShade="F2"/>
          </w:tcPr>
          <w:p w14:paraId="74304156" w14:textId="77777777" w:rsidR="00FD4A08" w:rsidRPr="0089741D" w:rsidRDefault="00FD4A08" w:rsidP="00DB13FF">
            <w:r w:rsidRPr="0089741D">
              <w:t>PERSON(S) RESPONSIBLE</w:t>
            </w:r>
          </w:p>
        </w:tc>
        <w:tc>
          <w:tcPr>
            <w:tcW w:w="3386" w:type="dxa"/>
            <w:shd w:val="clear" w:color="auto" w:fill="F2F2F2" w:themeFill="background1" w:themeFillShade="F2"/>
          </w:tcPr>
          <w:p w14:paraId="7A477281" w14:textId="77777777" w:rsidR="00FD4A08" w:rsidRPr="0089741D" w:rsidRDefault="00FD4A08" w:rsidP="00DB13FF">
            <w:r w:rsidRPr="0089741D">
              <w:t>OUTCOME</w:t>
            </w:r>
          </w:p>
        </w:tc>
      </w:tr>
      <w:tr w:rsidR="00FD4A08" w:rsidRPr="0089741D" w14:paraId="696BBEA2" w14:textId="77777777" w:rsidTr="00DB13FF">
        <w:trPr>
          <w:trHeight w:val="628"/>
        </w:trPr>
        <w:tc>
          <w:tcPr>
            <w:tcW w:w="5427" w:type="dxa"/>
          </w:tcPr>
          <w:p w14:paraId="11B480AB" w14:textId="77777777" w:rsidR="00FD4A08" w:rsidRPr="0089741D" w:rsidRDefault="00FD4A08" w:rsidP="00FD4A08">
            <w:pPr>
              <w:pStyle w:val="ListParagraph"/>
              <w:numPr>
                <w:ilvl w:val="0"/>
                <w:numId w:val="3"/>
              </w:numPr>
              <w:jc w:val="left"/>
            </w:pPr>
            <w:r w:rsidRPr="0089741D">
              <w:t xml:space="preserve">A Client Charter of Rights and Responsibilities is implemented and monitored for compliance and validity. </w:t>
            </w:r>
          </w:p>
        </w:tc>
        <w:tc>
          <w:tcPr>
            <w:tcW w:w="936" w:type="dxa"/>
          </w:tcPr>
          <w:p w14:paraId="54B8D1DF" w14:textId="77777777" w:rsidR="00FD4A08" w:rsidRPr="0089741D" w:rsidRDefault="00FD4A08" w:rsidP="00DB13FF"/>
        </w:tc>
        <w:tc>
          <w:tcPr>
            <w:tcW w:w="3293" w:type="dxa"/>
          </w:tcPr>
          <w:p w14:paraId="5158493A" w14:textId="77777777" w:rsidR="00FD4A08" w:rsidRPr="0089741D" w:rsidRDefault="00FD4A08" w:rsidP="00DB13FF"/>
        </w:tc>
        <w:tc>
          <w:tcPr>
            <w:tcW w:w="3396" w:type="dxa"/>
          </w:tcPr>
          <w:p w14:paraId="42FE2185" w14:textId="77777777" w:rsidR="00FD4A08" w:rsidRPr="0089741D" w:rsidRDefault="00FD4A08" w:rsidP="00DB13FF"/>
        </w:tc>
        <w:tc>
          <w:tcPr>
            <w:tcW w:w="2502" w:type="dxa"/>
          </w:tcPr>
          <w:p w14:paraId="2A58B0ED" w14:textId="77777777" w:rsidR="00FD4A08" w:rsidRPr="0089741D" w:rsidRDefault="00FD4A08" w:rsidP="00DB13FF"/>
        </w:tc>
        <w:tc>
          <w:tcPr>
            <w:tcW w:w="2593" w:type="dxa"/>
          </w:tcPr>
          <w:p w14:paraId="2788441F" w14:textId="77777777" w:rsidR="00FD4A08" w:rsidRPr="0089741D" w:rsidRDefault="00FD4A08" w:rsidP="00DB13FF"/>
        </w:tc>
        <w:tc>
          <w:tcPr>
            <w:tcW w:w="3386" w:type="dxa"/>
          </w:tcPr>
          <w:p w14:paraId="31AA32CD" w14:textId="77777777" w:rsidR="00FD4A08" w:rsidRPr="0089741D" w:rsidRDefault="00FD4A08" w:rsidP="00DB13FF"/>
        </w:tc>
      </w:tr>
      <w:tr w:rsidR="00FD4A08" w:rsidRPr="0089741D" w14:paraId="435826F3" w14:textId="77777777" w:rsidTr="00DB13FF">
        <w:trPr>
          <w:trHeight w:val="982"/>
        </w:trPr>
        <w:tc>
          <w:tcPr>
            <w:tcW w:w="5427" w:type="dxa"/>
          </w:tcPr>
          <w:p w14:paraId="657D36B9" w14:textId="77777777" w:rsidR="00FD4A08" w:rsidRPr="0089741D" w:rsidRDefault="00FD4A08" w:rsidP="00FD4A08">
            <w:pPr>
              <w:pStyle w:val="ListParagraph"/>
              <w:numPr>
                <w:ilvl w:val="0"/>
                <w:numId w:val="3"/>
              </w:numPr>
              <w:jc w:val="left"/>
            </w:pPr>
            <w:r w:rsidRPr="0089741D">
              <w:t>Practitioners are inducted, trained and supervised to work with victim-survivors in a way that respects their autonomy, consent, and personal empowerment.</w:t>
            </w:r>
          </w:p>
        </w:tc>
        <w:tc>
          <w:tcPr>
            <w:tcW w:w="936" w:type="dxa"/>
          </w:tcPr>
          <w:p w14:paraId="0FA94A4D" w14:textId="77777777" w:rsidR="00FD4A08" w:rsidRPr="0089741D" w:rsidRDefault="00FD4A08" w:rsidP="00DB13FF"/>
        </w:tc>
        <w:tc>
          <w:tcPr>
            <w:tcW w:w="3293" w:type="dxa"/>
          </w:tcPr>
          <w:p w14:paraId="6C941F72" w14:textId="77777777" w:rsidR="00FD4A08" w:rsidRPr="0089741D" w:rsidRDefault="00FD4A08" w:rsidP="00DB13FF"/>
        </w:tc>
        <w:tc>
          <w:tcPr>
            <w:tcW w:w="3396" w:type="dxa"/>
          </w:tcPr>
          <w:p w14:paraId="09875074" w14:textId="77777777" w:rsidR="00FD4A08" w:rsidRPr="0089741D" w:rsidRDefault="00FD4A08" w:rsidP="00DB13FF"/>
        </w:tc>
        <w:tc>
          <w:tcPr>
            <w:tcW w:w="2502" w:type="dxa"/>
          </w:tcPr>
          <w:p w14:paraId="27262552" w14:textId="77777777" w:rsidR="00FD4A08" w:rsidRPr="0089741D" w:rsidRDefault="00FD4A08" w:rsidP="00DB13FF"/>
        </w:tc>
        <w:tc>
          <w:tcPr>
            <w:tcW w:w="2593" w:type="dxa"/>
          </w:tcPr>
          <w:p w14:paraId="7D727096" w14:textId="77777777" w:rsidR="00FD4A08" w:rsidRPr="0089741D" w:rsidRDefault="00FD4A08" w:rsidP="00DB13FF"/>
        </w:tc>
        <w:tc>
          <w:tcPr>
            <w:tcW w:w="3386" w:type="dxa"/>
          </w:tcPr>
          <w:p w14:paraId="2A56145E" w14:textId="77777777" w:rsidR="00FD4A08" w:rsidRPr="0089741D" w:rsidRDefault="00FD4A08" w:rsidP="00DB13FF"/>
        </w:tc>
      </w:tr>
      <w:tr w:rsidR="00FD4A08" w:rsidRPr="0089741D" w14:paraId="5B31BDB7" w14:textId="77777777" w:rsidTr="00DB13FF">
        <w:trPr>
          <w:trHeight w:val="701"/>
        </w:trPr>
        <w:tc>
          <w:tcPr>
            <w:tcW w:w="5427" w:type="dxa"/>
          </w:tcPr>
          <w:p w14:paraId="27DB1916" w14:textId="2F3F6154" w:rsidR="00FD4A08" w:rsidRPr="0089741D" w:rsidRDefault="00FD4A08" w:rsidP="00FD4A08">
            <w:pPr>
              <w:pStyle w:val="ListParagraph"/>
              <w:numPr>
                <w:ilvl w:val="0"/>
                <w:numId w:val="3"/>
              </w:numPr>
              <w:jc w:val="left"/>
            </w:pPr>
            <w:r w:rsidRPr="00C92142">
              <w:t>Practitioners are inducted, trained and supervised to exchange information with victim-survivors about family</w:t>
            </w:r>
            <w:r>
              <w:t xml:space="preserve"> </w:t>
            </w:r>
            <w:r w:rsidRPr="00C92142">
              <w:t>violence risks, drivers, and impacts to support their</w:t>
            </w:r>
            <w:r>
              <w:t xml:space="preserve"> </w:t>
            </w:r>
            <w:r w:rsidRPr="00C92142">
              <w:t xml:space="preserve">safety, wellbeing and </w:t>
            </w:r>
            <w:r w:rsidR="00275EA3">
              <w:t>decision-making</w:t>
            </w:r>
            <w:r w:rsidRPr="00C92142">
              <w:t>.</w:t>
            </w:r>
          </w:p>
        </w:tc>
        <w:tc>
          <w:tcPr>
            <w:tcW w:w="936" w:type="dxa"/>
          </w:tcPr>
          <w:p w14:paraId="1B5E2E8C" w14:textId="77777777" w:rsidR="00FD4A08" w:rsidRPr="0089741D" w:rsidRDefault="00FD4A08" w:rsidP="00DB13FF"/>
        </w:tc>
        <w:tc>
          <w:tcPr>
            <w:tcW w:w="3293" w:type="dxa"/>
          </w:tcPr>
          <w:p w14:paraId="072C6444" w14:textId="77777777" w:rsidR="00FD4A08" w:rsidRPr="0089741D" w:rsidRDefault="00FD4A08" w:rsidP="00DB13FF"/>
        </w:tc>
        <w:tc>
          <w:tcPr>
            <w:tcW w:w="3396" w:type="dxa"/>
          </w:tcPr>
          <w:p w14:paraId="4D0F290B" w14:textId="77777777" w:rsidR="00FD4A08" w:rsidRPr="0089741D" w:rsidRDefault="00FD4A08" w:rsidP="00DB13FF"/>
        </w:tc>
        <w:tc>
          <w:tcPr>
            <w:tcW w:w="2502" w:type="dxa"/>
          </w:tcPr>
          <w:p w14:paraId="59A66881" w14:textId="77777777" w:rsidR="00FD4A08" w:rsidRPr="0089741D" w:rsidRDefault="00FD4A08" w:rsidP="00DB13FF"/>
        </w:tc>
        <w:tc>
          <w:tcPr>
            <w:tcW w:w="2593" w:type="dxa"/>
          </w:tcPr>
          <w:p w14:paraId="60041113" w14:textId="77777777" w:rsidR="00FD4A08" w:rsidRPr="0089741D" w:rsidRDefault="00FD4A08" w:rsidP="00DB13FF"/>
        </w:tc>
        <w:tc>
          <w:tcPr>
            <w:tcW w:w="3386" w:type="dxa"/>
          </w:tcPr>
          <w:p w14:paraId="170FFB8B" w14:textId="77777777" w:rsidR="00FD4A08" w:rsidRPr="0089741D" w:rsidRDefault="00FD4A08" w:rsidP="00DB13FF"/>
        </w:tc>
      </w:tr>
      <w:tr w:rsidR="00FD4A08" w:rsidRPr="0089741D" w14:paraId="0EEAB8D4" w14:textId="77777777" w:rsidTr="00DB13FF">
        <w:trPr>
          <w:trHeight w:val="887"/>
        </w:trPr>
        <w:tc>
          <w:tcPr>
            <w:tcW w:w="5427" w:type="dxa"/>
          </w:tcPr>
          <w:p w14:paraId="1E47F47E" w14:textId="7C0D0FA4" w:rsidR="00FD4A08" w:rsidRPr="00C92142" w:rsidRDefault="00275EA3" w:rsidP="00275EA3">
            <w:pPr>
              <w:pStyle w:val="ListParagraph"/>
              <w:numPr>
                <w:ilvl w:val="0"/>
                <w:numId w:val="3"/>
              </w:numPr>
              <w:autoSpaceDE w:val="0"/>
              <w:autoSpaceDN w:val="0"/>
              <w:adjustRightInd w:val="0"/>
              <w:spacing w:line="240" w:lineRule="auto"/>
              <w:jc w:val="left"/>
            </w:pPr>
            <w:r w:rsidRPr="00275EA3">
              <w:t>Processes are in place to proactively engage victim-survivors in making decisions about all aspects of service provision to address their individual safety and support needs.</w:t>
            </w:r>
          </w:p>
        </w:tc>
        <w:tc>
          <w:tcPr>
            <w:tcW w:w="936" w:type="dxa"/>
          </w:tcPr>
          <w:p w14:paraId="497B458A" w14:textId="77777777" w:rsidR="00FD4A08" w:rsidRPr="0089741D" w:rsidRDefault="00FD4A08" w:rsidP="00DB13FF"/>
        </w:tc>
        <w:tc>
          <w:tcPr>
            <w:tcW w:w="3293" w:type="dxa"/>
          </w:tcPr>
          <w:p w14:paraId="192788B7" w14:textId="77777777" w:rsidR="00FD4A08" w:rsidRPr="0089741D" w:rsidRDefault="00FD4A08" w:rsidP="00DB13FF"/>
        </w:tc>
        <w:tc>
          <w:tcPr>
            <w:tcW w:w="3396" w:type="dxa"/>
          </w:tcPr>
          <w:p w14:paraId="1CB49632" w14:textId="77777777" w:rsidR="00FD4A08" w:rsidRPr="0089741D" w:rsidRDefault="00FD4A08" w:rsidP="00DB13FF"/>
        </w:tc>
        <w:tc>
          <w:tcPr>
            <w:tcW w:w="2502" w:type="dxa"/>
          </w:tcPr>
          <w:p w14:paraId="56F2BB1A" w14:textId="77777777" w:rsidR="00FD4A08" w:rsidRPr="0089741D" w:rsidRDefault="00FD4A08" w:rsidP="00DB13FF"/>
        </w:tc>
        <w:tc>
          <w:tcPr>
            <w:tcW w:w="2593" w:type="dxa"/>
          </w:tcPr>
          <w:p w14:paraId="3900C477" w14:textId="77777777" w:rsidR="00FD4A08" w:rsidRPr="0089741D" w:rsidRDefault="00FD4A08" w:rsidP="00DB13FF"/>
        </w:tc>
        <w:tc>
          <w:tcPr>
            <w:tcW w:w="3386" w:type="dxa"/>
          </w:tcPr>
          <w:p w14:paraId="6D7DD1E9" w14:textId="77777777" w:rsidR="00FD4A08" w:rsidRPr="0089741D" w:rsidRDefault="00FD4A08" w:rsidP="00DB13FF"/>
        </w:tc>
      </w:tr>
    </w:tbl>
    <w:p w14:paraId="38DA2F5D" w14:textId="0A9AB924" w:rsidR="00FD4A08" w:rsidRDefault="00FD4A08" w:rsidP="00FD4A08"/>
    <w:p w14:paraId="6CBD4E13" w14:textId="704B13B6" w:rsidR="00FD4A08" w:rsidRDefault="00FD4A08" w:rsidP="00FD4A08">
      <w:pPr>
        <w:pStyle w:val="Heading3"/>
      </w:pPr>
      <w:r w:rsidRPr="0089741D">
        <w:t>2.2 The service is flexible and tailored to victim-survivor’s needs</w:t>
      </w:r>
    </w:p>
    <w:p w14:paraId="35123767" w14:textId="77777777" w:rsidR="00FD4A08" w:rsidRPr="0089741D" w:rsidRDefault="00FD4A08" w:rsidP="00FD4A08">
      <w:r w:rsidRPr="0089741D">
        <w:t>HSS: (1) Empowerment; (3) Wellbeing; (4) Participation</w:t>
      </w:r>
    </w:p>
    <w:p w14:paraId="0B40192B" w14:textId="5781CE27" w:rsidR="00FD4A08" w:rsidRDefault="00FD4A08" w:rsidP="00FD4A08">
      <w:r w:rsidRPr="0089741D">
        <w:t>QGF</w:t>
      </w:r>
      <w:r>
        <w:t xml:space="preserve"> domains</w:t>
      </w:r>
      <w:r w:rsidRPr="0089741D">
        <w:t>:</w:t>
      </w:r>
      <w:r>
        <w:t xml:space="preserve"> Client and family partnerships;</w:t>
      </w:r>
      <w:r w:rsidRPr="0089741D">
        <w:t xml:space="preserve"> </w:t>
      </w:r>
      <w:r>
        <w:t>Best practice</w:t>
      </w:r>
    </w:p>
    <w:p w14:paraId="29CE7FEB" w14:textId="77777777" w:rsidR="00275EA3" w:rsidRDefault="00275EA3" w:rsidP="00FD4A08"/>
    <w:tbl>
      <w:tblPr>
        <w:tblStyle w:val="TableGridLight"/>
        <w:tblW w:w="21541" w:type="dxa"/>
        <w:tblLook w:val="0020" w:firstRow="1" w:lastRow="0" w:firstColumn="0" w:lastColumn="0" w:noHBand="0" w:noVBand="0"/>
      </w:tblPr>
      <w:tblGrid>
        <w:gridCol w:w="5382"/>
        <w:gridCol w:w="992"/>
        <w:gridCol w:w="3352"/>
        <w:gridCol w:w="3195"/>
        <w:gridCol w:w="2247"/>
        <w:gridCol w:w="3054"/>
        <w:gridCol w:w="3319"/>
      </w:tblGrid>
      <w:tr w:rsidR="00275EA3" w:rsidRPr="0089741D" w14:paraId="7D9A4A0E" w14:textId="77777777" w:rsidTr="00275EA3">
        <w:trPr>
          <w:trHeight w:val="339"/>
        </w:trPr>
        <w:tc>
          <w:tcPr>
            <w:tcW w:w="5382" w:type="dxa"/>
            <w:shd w:val="clear" w:color="auto" w:fill="F2F2F2" w:themeFill="background1" w:themeFillShade="F2"/>
          </w:tcPr>
          <w:p w14:paraId="5F991AB0" w14:textId="77777777" w:rsidR="00275EA3" w:rsidRPr="0089741D" w:rsidRDefault="00275EA3" w:rsidP="00DB13FF">
            <w:r w:rsidRPr="0089741D">
              <w:t>INDICATORS</w:t>
            </w:r>
          </w:p>
        </w:tc>
        <w:tc>
          <w:tcPr>
            <w:tcW w:w="992" w:type="dxa"/>
            <w:shd w:val="clear" w:color="auto" w:fill="F2F2F2" w:themeFill="background1" w:themeFillShade="F2"/>
          </w:tcPr>
          <w:p w14:paraId="0FA1C76E" w14:textId="77777777" w:rsidR="00275EA3" w:rsidRPr="0089741D" w:rsidRDefault="00275EA3" w:rsidP="00DB13FF">
            <w:r w:rsidRPr="0089741D">
              <w:t>RATING</w:t>
            </w:r>
          </w:p>
        </w:tc>
        <w:tc>
          <w:tcPr>
            <w:tcW w:w="3352" w:type="dxa"/>
            <w:shd w:val="clear" w:color="auto" w:fill="F2F2F2" w:themeFill="background1" w:themeFillShade="F2"/>
          </w:tcPr>
          <w:p w14:paraId="778DF8C6" w14:textId="77777777" w:rsidR="00275EA3" w:rsidRPr="0089741D" w:rsidRDefault="00275EA3" w:rsidP="00DB13FF">
            <w:r w:rsidRPr="0089741D">
              <w:t xml:space="preserve">EVIDENCE </w:t>
            </w:r>
          </w:p>
        </w:tc>
        <w:tc>
          <w:tcPr>
            <w:tcW w:w="3195" w:type="dxa"/>
            <w:shd w:val="clear" w:color="auto" w:fill="F2F2F2" w:themeFill="background1" w:themeFillShade="F2"/>
          </w:tcPr>
          <w:p w14:paraId="1C8DA94F" w14:textId="77777777" w:rsidR="00275EA3" w:rsidRPr="0089741D" w:rsidRDefault="00275EA3" w:rsidP="00DB13FF">
            <w:r w:rsidRPr="0089741D">
              <w:t xml:space="preserve">IMPROVEMENT ACTIONS </w:t>
            </w:r>
          </w:p>
        </w:tc>
        <w:tc>
          <w:tcPr>
            <w:tcW w:w="2247" w:type="dxa"/>
            <w:shd w:val="clear" w:color="auto" w:fill="F2F2F2" w:themeFill="background1" w:themeFillShade="F2"/>
          </w:tcPr>
          <w:p w14:paraId="01A50C67" w14:textId="77777777" w:rsidR="00275EA3" w:rsidRPr="0089741D" w:rsidRDefault="00275EA3" w:rsidP="00DB13FF">
            <w:r w:rsidRPr="0089741D">
              <w:t>TIMEFRAME</w:t>
            </w:r>
          </w:p>
        </w:tc>
        <w:tc>
          <w:tcPr>
            <w:tcW w:w="3054" w:type="dxa"/>
            <w:shd w:val="clear" w:color="auto" w:fill="F2F2F2" w:themeFill="background1" w:themeFillShade="F2"/>
          </w:tcPr>
          <w:p w14:paraId="33D97095" w14:textId="77777777" w:rsidR="00275EA3" w:rsidRPr="0089741D" w:rsidRDefault="00275EA3" w:rsidP="00DB13FF">
            <w:r w:rsidRPr="0089741D">
              <w:t>PERSON(S) RESPONSIBLE</w:t>
            </w:r>
          </w:p>
        </w:tc>
        <w:tc>
          <w:tcPr>
            <w:tcW w:w="3319" w:type="dxa"/>
            <w:shd w:val="clear" w:color="auto" w:fill="F2F2F2" w:themeFill="background1" w:themeFillShade="F2"/>
          </w:tcPr>
          <w:p w14:paraId="37C0E191" w14:textId="77777777" w:rsidR="00275EA3" w:rsidRPr="0089741D" w:rsidRDefault="00275EA3" w:rsidP="00DB13FF">
            <w:r w:rsidRPr="0089741D">
              <w:t>OUTCOME</w:t>
            </w:r>
          </w:p>
        </w:tc>
      </w:tr>
      <w:tr w:rsidR="00275EA3" w:rsidRPr="0089741D" w14:paraId="05DB731D" w14:textId="77777777" w:rsidTr="00275EA3">
        <w:trPr>
          <w:trHeight w:val="821"/>
        </w:trPr>
        <w:tc>
          <w:tcPr>
            <w:tcW w:w="5382" w:type="dxa"/>
          </w:tcPr>
          <w:p w14:paraId="23180375" w14:textId="77777777" w:rsidR="00275EA3" w:rsidRPr="0089741D" w:rsidRDefault="00275EA3" w:rsidP="00275EA3">
            <w:pPr>
              <w:pStyle w:val="ListParagraph"/>
              <w:numPr>
                <w:ilvl w:val="0"/>
                <w:numId w:val="28"/>
              </w:numPr>
              <w:ind w:right="45"/>
              <w:jc w:val="left"/>
            </w:pPr>
            <w:r w:rsidRPr="0089741D">
              <w:t>Flexible service design is implemented to provide easy access to specialist family violence services that account for the ongoing complexities and barriers victim-survivors face when seeking help.</w:t>
            </w:r>
          </w:p>
        </w:tc>
        <w:tc>
          <w:tcPr>
            <w:tcW w:w="992" w:type="dxa"/>
          </w:tcPr>
          <w:p w14:paraId="6B496975" w14:textId="77777777" w:rsidR="00275EA3" w:rsidRPr="0089741D" w:rsidRDefault="00275EA3" w:rsidP="00DB13FF"/>
        </w:tc>
        <w:tc>
          <w:tcPr>
            <w:tcW w:w="3352" w:type="dxa"/>
          </w:tcPr>
          <w:p w14:paraId="3F731A4C" w14:textId="77777777" w:rsidR="00275EA3" w:rsidRPr="0089741D" w:rsidRDefault="00275EA3" w:rsidP="00DB13FF"/>
        </w:tc>
        <w:tc>
          <w:tcPr>
            <w:tcW w:w="3195" w:type="dxa"/>
          </w:tcPr>
          <w:p w14:paraId="3DC4AF26" w14:textId="77777777" w:rsidR="00275EA3" w:rsidRPr="0089741D" w:rsidRDefault="00275EA3" w:rsidP="00DB13FF"/>
        </w:tc>
        <w:tc>
          <w:tcPr>
            <w:tcW w:w="2247" w:type="dxa"/>
          </w:tcPr>
          <w:p w14:paraId="3D8020F8" w14:textId="77777777" w:rsidR="00275EA3" w:rsidRPr="0089741D" w:rsidRDefault="00275EA3" w:rsidP="00DB13FF"/>
        </w:tc>
        <w:tc>
          <w:tcPr>
            <w:tcW w:w="3054" w:type="dxa"/>
          </w:tcPr>
          <w:p w14:paraId="777D8D9A" w14:textId="77777777" w:rsidR="00275EA3" w:rsidRPr="0089741D" w:rsidRDefault="00275EA3" w:rsidP="00DB13FF"/>
        </w:tc>
        <w:tc>
          <w:tcPr>
            <w:tcW w:w="3319" w:type="dxa"/>
          </w:tcPr>
          <w:p w14:paraId="26AE4009" w14:textId="77777777" w:rsidR="00275EA3" w:rsidRPr="0089741D" w:rsidRDefault="00275EA3" w:rsidP="00DB13FF"/>
        </w:tc>
      </w:tr>
      <w:tr w:rsidR="00275EA3" w:rsidRPr="0089741D" w14:paraId="59D22959" w14:textId="77777777" w:rsidTr="00275EA3">
        <w:trPr>
          <w:trHeight w:val="865"/>
        </w:trPr>
        <w:tc>
          <w:tcPr>
            <w:tcW w:w="5382" w:type="dxa"/>
          </w:tcPr>
          <w:p w14:paraId="4EDBCAD8" w14:textId="77777777" w:rsidR="00275EA3" w:rsidRPr="0089741D" w:rsidRDefault="00275EA3" w:rsidP="00275EA3">
            <w:pPr>
              <w:pStyle w:val="ListParagraph"/>
              <w:numPr>
                <w:ilvl w:val="0"/>
                <w:numId w:val="28"/>
              </w:numPr>
              <w:jc w:val="left"/>
            </w:pPr>
            <w:r w:rsidRPr="0089741D">
              <w:t xml:space="preserve">The duration and intensity of service provision is tailored to victim-survivors’ assessed safety and support needs and reviewed regularly to ensure relevance to changing risks and circumstances. </w:t>
            </w:r>
          </w:p>
        </w:tc>
        <w:tc>
          <w:tcPr>
            <w:tcW w:w="992" w:type="dxa"/>
          </w:tcPr>
          <w:p w14:paraId="610199DB" w14:textId="77777777" w:rsidR="00275EA3" w:rsidRPr="0089741D" w:rsidRDefault="00275EA3" w:rsidP="00DB13FF"/>
        </w:tc>
        <w:tc>
          <w:tcPr>
            <w:tcW w:w="3352" w:type="dxa"/>
          </w:tcPr>
          <w:p w14:paraId="454D8C8F" w14:textId="77777777" w:rsidR="00275EA3" w:rsidRPr="0089741D" w:rsidRDefault="00275EA3" w:rsidP="00DB13FF"/>
        </w:tc>
        <w:tc>
          <w:tcPr>
            <w:tcW w:w="3195" w:type="dxa"/>
          </w:tcPr>
          <w:p w14:paraId="4B1615ED" w14:textId="77777777" w:rsidR="00275EA3" w:rsidRPr="0089741D" w:rsidRDefault="00275EA3" w:rsidP="00DB13FF"/>
        </w:tc>
        <w:tc>
          <w:tcPr>
            <w:tcW w:w="2247" w:type="dxa"/>
          </w:tcPr>
          <w:p w14:paraId="295405FB" w14:textId="77777777" w:rsidR="00275EA3" w:rsidRPr="0089741D" w:rsidRDefault="00275EA3" w:rsidP="00DB13FF"/>
        </w:tc>
        <w:tc>
          <w:tcPr>
            <w:tcW w:w="3054" w:type="dxa"/>
          </w:tcPr>
          <w:p w14:paraId="177642B5" w14:textId="77777777" w:rsidR="00275EA3" w:rsidRPr="0089741D" w:rsidRDefault="00275EA3" w:rsidP="00DB13FF"/>
        </w:tc>
        <w:tc>
          <w:tcPr>
            <w:tcW w:w="3319" w:type="dxa"/>
          </w:tcPr>
          <w:p w14:paraId="2EE9C909" w14:textId="77777777" w:rsidR="00275EA3" w:rsidRPr="0089741D" w:rsidRDefault="00275EA3" w:rsidP="00DB13FF"/>
        </w:tc>
      </w:tr>
      <w:tr w:rsidR="00275EA3" w:rsidRPr="0089741D" w14:paraId="7D26E08F" w14:textId="77777777" w:rsidTr="00275EA3">
        <w:trPr>
          <w:trHeight w:val="958"/>
        </w:trPr>
        <w:tc>
          <w:tcPr>
            <w:tcW w:w="5382" w:type="dxa"/>
          </w:tcPr>
          <w:p w14:paraId="6E891552" w14:textId="08F7517E" w:rsidR="00275EA3" w:rsidRPr="0089741D" w:rsidRDefault="00275EA3" w:rsidP="00275EA3">
            <w:pPr>
              <w:pStyle w:val="ListParagraph"/>
              <w:numPr>
                <w:ilvl w:val="0"/>
                <w:numId w:val="28"/>
              </w:numPr>
              <w:jc w:val="left"/>
              <w:rPr>
                <w:rFonts w:eastAsiaTheme="minorHAnsi"/>
              </w:rPr>
            </w:pPr>
            <w:r w:rsidRPr="0089741D">
              <w:rPr>
                <w:rFonts w:eastAsia="Times"/>
                <w:lang w:val="en-US"/>
              </w:rPr>
              <w:t xml:space="preserve">Services are tailored for victim-survivors who wish to maintain relationships </w:t>
            </w:r>
            <w:r w:rsidR="00DB13FF">
              <w:rPr>
                <w:rFonts w:eastAsia="Times"/>
                <w:lang w:val="en-US"/>
              </w:rPr>
              <w:t xml:space="preserve">and connections </w:t>
            </w:r>
            <w:r w:rsidRPr="0089741D">
              <w:rPr>
                <w:rFonts w:eastAsia="Times"/>
                <w:lang w:val="en-US"/>
              </w:rPr>
              <w:t>with the perpetrator, family, community, culture and pets/animals.</w:t>
            </w:r>
          </w:p>
        </w:tc>
        <w:tc>
          <w:tcPr>
            <w:tcW w:w="992" w:type="dxa"/>
          </w:tcPr>
          <w:p w14:paraId="1C03CA66" w14:textId="77777777" w:rsidR="00275EA3" w:rsidRPr="0089741D" w:rsidRDefault="00275EA3" w:rsidP="00DB13FF"/>
        </w:tc>
        <w:tc>
          <w:tcPr>
            <w:tcW w:w="3352" w:type="dxa"/>
          </w:tcPr>
          <w:p w14:paraId="2141A5DE" w14:textId="77777777" w:rsidR="00275EA3" w:rsidRPr="0089741D" w:rsidRDefault="00275EA3" w:rsidP="00DB13FF"/>
        </w:tc>
        <w:tc>
          <w:tcPr>
            <w:tcW w:w="3195" w:type="dxa"/>
          </w:tcPr>
          <w:p w14:paraId="6E84FA5B" w14:textId="77777777" w:rsidR="00275EA3" w:rsidRPr="0089741D" w:rsidRDefault="00275EA3" w:rsidP="00DB13FF"/>
        </w:tc>
        <w:tc>
          <w:tcPr>
            <w:tcW w:w="2247" w:type="dxa"/>
          </w:tcPr>
          <w:p w14:paraId="7E85648C" w14:textId="77777777" w:rsidR="00275EA3" w:rsidRPr="0089741D" w:rsidRDefault="00275EA3" w:rsidP="00DB13FF"/>
        </w:tc>
        <w:tc>
          <w:tcPr>
            <w:tcW w:w="3054" w:type="dxa"/>
          </w:tcPr>
          <w:p w14:paraId="5E6F59DA" w14:textId="77777777" w:rsidR="00275EA3" w:rsidRPr="0089741D" w:rsidRDefault="00275EA3" w:rsidP="00DB13FF"/>
        </w:tc>
        <w:tc>
          <w:tcPr>
            <w:tcW w:w="3319" w:type="dxa"/>
          </w:tcPr>
          <w:p w14:paraId="70D6D7EF" w14:textId="77777777" w:rsidR="00275EA3" w:rsidRPr="0089741D" w:rsidRDefault="00275EA3" w:rsidP="00DB13FF"/>
        </w:tc>
      </w:tr>
    </w:tbl>
    <w:p w14:paraId="0BE37647" w14:textId="68C68A6B" w:rsidR="00FD4A08" w:rsidRDefault="00FD4A08" w:rsidP="00FD4A08"/>
    <w:p w14:paraId="23B91366" w14:textId="2B673DB2" w:rsidR="0022455C" w:rsidRDefault="0022455C" w:rsidP="00FD4A08"/>
    <w:p w14:paraId="32B69F52" w14:textId="230AD579" w:rsidR="00057A11" w:rsidRDefault="00057A11" w:rsidP="00FD4A08"/>
    <w:p w14:paraId="71AC3DC6" w14:textId="77CAC552" w:rsidR="00057A11" w:rsidRDefault="00057A11" w:rsidP="00FD4A08"/>
    <w:p w14:paraId="3900C650" w14:textId="6DC4B7B6" w:rsidR="00057A11" w:rsidRDefault="00057A11" w:rsidP="00FD4A08"/>
    <w:p w14:paraId="2EC8BA5A" w14:textId="65A1E4A3" w:rsidR="00057A11" w:rsidRDefault="00057A11" w:rsidP="00FD4A08"/>
    <w:p w14:paraId="0ECD282B" w14:textId="6F8AC320" w:rsidR="00057A11" w:rsidRDefault="00057A11" w:rsidP="00FD4A08"/>
    <w:p w14:paraId="396C83BC" w14:textId="1306865C" w:rsidR="00057A11" w:rsidRDefault="00057A11" w:rsidP="00FD4A08"/>
    <w:p w14:paraId="7C5D40B3" w14:textId="20880598" w:rsidR="00057A11" w:rsidRDefault="00057A11" w:rsidP="00FD4A08"/>
    <w:p w14:paraId="1D4B67B8" w14:textId="77777777" w:rsidR="00057A11" w:rsidRDefault="00057A11" w:rsidP="00FD4A08"/>
    <w:p w14:paraId="6A89D68B" w14:textId="77777777" w:rsidR="0022455C" w:rsidRDefault="0022455C" w:rsidP="0022455C">
      <w:pPr>
        <w:pStyle w:val="Heading2"/>
      </w:pPr>
      <w:r w:rsidRPr="0089741D">
        <w:lastRenderedPageBreak/>
        <w:t>Principle 3: Confidentiality and Information Management</w:t>
      </w:r>
    </w:p>
    <w:p w14:paraId="5B1C271F" w14:textId="27B75114" w:rsidR="0022455C" w:rsidRPr="0089741D" w:rsidRDefault="0022455C" w:rsidP="0022455C">
      <w:pPr>
        <w:pStyle w:val="Heading3"/>
      </w:pPr>
      <w:r>
        <w:t xml:space="preserve">Standard </w:t>
      </w:r>
      <w:r w:rsidRPr="0089741D">
        <w:t xml:space="preserve">3.1 The service legally and ethically handles victim-survivors’ confidential and personal information.  </w:t>
      </w:r>
    </w:p>
    <w:p w14:paraId="02EAE3FF" w14:textId="77777777" w:rsidR="0022455C" w:rsidRPr="0089741D" w:rsidRDefault="0022455C" w:rsidP="0022455C">
      <w:r w:rsidRPr="0089741D">
        <w:t xml:space="preserve">HSS: (1) Empowerment; (3) Wellbeing; (5) Governance and management </w:t>
      </w:r>
    </w:p>
    <w:p w14:paraId="06A7B2FA" w14:textId="3BBA462A" w:rsidR="0022455C" w:rsidRDefault="0022455C" w:rsidP="0022455C">
      <w:r w:rsidRPr="0089741D">
        <w:t>QGF</w:t>
      </w:r>
      <w:r>
        <w:t xml:space="preserve"> domains</w:t>
      </w:r>
      <w:r w:rsidRPr="0089741D">
        <w:t xml:space="preserve">: </w:t>
      </w:r>
      <w:r>
        <w:t>Risk management</w:t>
      </w:r>
    </w:p>
    <w:p w14:paraId="74228D66" w14:textId="6C978195" w:rsidR="0022455C" w:rsidRDefault="0022455C" w:rsidP="0022455C"/>
    <w:tbl>
      <w:tblPr>
        <w:tblStyle w:val="TableGridLight"/>
        <w:tblW w:w="21541" w:type="dxa"/>
        <w:tblLook w:val="0020" w:firstRow="1" w:lastRow="0" w:firstColumn="0" w:lastColumn="0" w:noHBand="0" w:noVBand="0"/>
      </w:tblPr>
      <w:tblGrid>
        <w:gridCol w:w="5382"/>
        <w:gridCol w:w="1134"/>
        <w:gridCol w:w="3118"/>
        <w:gridCol w:w="3261"/>
        <w:gridCol w:w="2126"/>
        <w:gridCol w:w="3118"/>
        <w:gridCol w:w="3402"/>
      </w:tblGrid>
      <w:tr w:rsidR="0022455C" w:rsidRPr="0089741D" w14:paraId="4D1BD108" w14:textId="77777777" w:rsidTr="0022455C">
        <w:trPr>
          <w:trHeight w:val="377"/>
        </w:trPr>
        <w:tc>
          <w:tcPr>
            <w:tcW w:w="5382" w:type="dxa"/>
            <w:shd w:val="clear" w:color="auto" w:fill="F2F2F2" w:themeFill="background1" w:themeFillShade="F2"/>
          </w:tcPr>
          <w:p w14:paraId="0CBE937F" w14:textId="77777777" w:rsidR="0022455C" w:rsidRPr="0089741D" w:rsidRDefault="0022455C" w:rsidP="00DB13FF">
            <w:r w:rsidRPr="0089741D">
              <w:t>INDICATORS</w:t>
            </w:r>
          </w:p>
        </w:tc>
        <w:tc>
          <w:tcPr>
            <w:tcW w:w="1134" w:type="dxa"/>
            <w:shd w:val="clear" w:color="auto" w:fill="F2F2F2" w:themeFill="background1" w:themeFillShade="F2"/>
          </w:tcPr>
          <w:p w14:paraId="062D38B8" w14:textId="77777777" w:rsidR="0022455C" w:rsidRPr="0089741D" w:rsidRDefault="0022455C" w:rsidP="00DB13FF">
            <w:r w:rsidRPr="0089741D">
              <w:t>RATING</w:t>
            </w:r>
          </w:p>
        </w:tc>
        <w:tc>
          <w:tcPr>
            <w:tcW w:w="3118" w:type="dxa"/>
            <w:shd w:val="clear" w:color="auto" w:fill="F2F2F2" w:themeFill="background1" w:themeFillShade="F2"/>
          </w:tcPr>
          <w:p w14:paraId="0FE5AC8F" w14:textId="77777777" w:rsidR="0022455C" w:rsidRPr="0089741D" w:rsidRDefault="0022455C" w:rsidP="00DB13FF">
            <w:r w:rsidRPr="0089741D">
              <w:t xml:space="preserve">EVIDENCE </w:t>
            </w:r>
          </w:p>
        </w:tc>
        <w:tc>
          <w:tcPr>
            <w:tcW w:w="3261" w:type="dxa"/>
            <w:shd w:val="clear" w:color="auto" w:fill="F2F2F2" w:themeFill="background1" w:themeFillShade="F2"/>
          </w:tcPr>
          <w:p w14:paraId="7919A8E3" w14:textId="77777777" w:rsidR="0022455C" w:rsidRPr="0089741D" w:rsidRDefault="0022455C" w:rsidP="00DB13FF">
            <w:r w:rsidRPr="0089741D">
              <w:t xml:space="preserve">IMPROVEMENT ACTIONS </w:t>
            </w:r>
          </w:p>
        </w:tc>
        <w:tc>
          <w:tcPr>
            <w:tcW w:w="2126" w:type="dxa"/>
            <w:shd w:val="clear" w:color="auto" w:fill="F2F2F2" w:themeFill="background1" w:themeFillShade="F2"/>
          </w:tcPr>
          <w:p w14:paraId="6870FC7B" w14:textId="77777777" w:rsidR="0022455C" w:rsidRPr="0089741D" w:rsidRDefault="0022455C" w:rsidP="00DB13FF">
            <w:r w:rsidRPr="0089741D">
              <w:t>TIMEFRAME</w:t>
            </w:r>
          </w:p>
        </w:tc>
        <w:tc>
          <w:tcPr>
            <w:tcW w:w="3118" w:type="dxa"/>
            <w:shd w:val="clear" w:color="auto" w:fill="F2F2F2" w:themeFill="background1" w:themeFillShade="F2"/>
          </w:tcPr>
          <w:p w14:paraId="5192E9CD" w14:textId="77777777" w:rsidR="0022455C" w:rsidRPr="0089741D" w:rsidRDefault="0022455C" w:rsidP="00DB13FF">
            <w:r w:rsidRPr="0089741D">
              <w:t>PERSON(S) RESPONSIBLE</w:t>
            </w:r>
          </w:p>
        </w:tc>
        <w:tc>
          <w:tcPr>
            <w:tcW w:w="3402" w:type="dxa"/>
            <w:shd w:val="clear" w:color="auto" w:fill="F2F2F2" w:themeFill="background1" w:themeFillShade="F2"/>
          </w:tcPr>
          <w:p w14:paraId="0C2045A0" w14:textId="77777777" w:rsidR="0022455C" w:rsidRPr="0089741D" w:rsidRDefault="0022455C" w:rsidP="00DB13FF">
            <w:r w:rsidRPr="0089741D">
              <w:t>OUTCOME</w:t>
            </w:r>
          </w:p>
        </w:tc>
      </w:tr>
      <w:tr w:rsidR="0022455C" w:rsidRPr="0089741D" w14:paraId="475853B2" w14:textId="77777777" w:rsidTr="0022455C">
        <w:trPr>
          <w:trHeight w:val="809"/>
        </w:trPr>
        <w:tc>
          <w:tcPr>
            <w:tcW w:w="5382" w:type="dxa"/>
          </w:tcPr>
          <w:p w14:paraId="3F2F0BCE" w14:textId="7F964E01" w:rsidR="0022455C" w:rsidRPr="0089741D" w:rsidRDefault="0022455C" w:rsidP="0022455C">
            <w:pPr>
              <w:pStyle w:val="ListParagraph"/>
              <w:numPr>
                <w:ilvl w:val="0"/>
                <w:numId w:val="4"/>
              </w:numPr>
              <w:jc w:val="left"/>
            </w:pPr>
            <w:r>
              <w:t>Obligations under privacy and information sharing legislation are integrated throughout organisational systems and service responses.</w:t>
            </w:r>
          </w:p>
        </w:tc>
        <w:tc>
          <w:tcPr>
            <w:tcW w:w="1134" w:type="dxa"/>
          </w:tcPr>
          <w:p w14:paraId="0AE4A6E5" w14:textId="77777777" w:rsidR="0022455C" w:rsidRPr="0089741D" w:rsidRDefault="0022455C" w:rsidP="00433440"/>
        </w:tc>
        <w:tc>
          <w:tcPr>
            <w:tcW w:w="3118" w:type="dxa"/>
          </w:tcPr>
          <w:p w14:paraId="00E3567E" w14:textId="77777777" w:rsidR="0022455C" w:rsidRPr="0089741D" w:rsidRDefault="0022455C" w:rsidP="00433440">
            <w:pPr>
              <w:pStyle w:val="ListParagraph"/>
              <w:ind w:left="0"/>
            </w:pPr>
          </w:p>
        </w:tc>
        <w:tc>
          <w:tcPr>
            <w:tcW w:w="3261" w:type="dxa"/>
          </w:tcPr>
          <w:p w14:paraId="2C79D533" w14:textId="77777777" w:rsidR="0022455C" w:rsidRPr="0089741D" w:rsidRDefault="0022455C" w:rsidP="00433440">
            <w:pPr>
              <w:pStyle w:val="ListParagraph"/>
              <w:ind w:left="37"/>
            </w:pPr>
          </w:p>
        </w:tc>
        <w:tc>
          <w:tcPr>
            <w:tcW w:w="2126" w:type="dxa"/>
          </w:tcPr>
          <w:p w14:paraId="58F4CC8F" w14:textId="77777777" w:rsidR="0022455C" w:rsidRPr="0089741D" w:rsidRDefault="0022455C" w:rsidP="00433440">
            <w:pPr>
              <w:pStyle w:val="ListParagraph"/>
              <w:ind w:left="0"/>
            </w:pPr>
          </w:p>
        </w:tc>
        <w:tc>
          <w:tcPr>
            <w:tcW w:w="3118" w:type="dxa"/>
          </w:tcPr>
          <w:p w14:paraId="425876C8" w14:textId="77777777" w:rsidR="0022455C" w:rsidRPr="0089741D" w:rsidRDefault="0022455C" w:rsidP="00433440">
            <w:pPr>
              <w:pStyle w:val="ListParagraph"/>
              <w:ind w:left="0"/>
            </w:pPr>
          </w:p>
        </w:tc>
        <w:tc>
          <w:tcPr>
            <w:tcW w:w="3402" w:type="dxa"/>
          </w:tcPr>
          <w:p w14:paraId="56D1BD4F" w14:textId="77777777" w:rsidR="0022455C" w:rsidRPr="0089741D" w:rsidRDefault="0022455C" w:rsidP="00433440">
            <w:pPr>
              <w:pStyle w:val="ListParagraph"/>
              <w:ind w:left="0"/>
            </w:pPr>
          </w:p>
        </w:tc>
      </w:tr>
      <w:tr w:rsidR="0022455C" w:rsidRPr="0089741D" w14:paraId="50152EB8" w14:textId="77777777" w:rsidTr="0022455C">
        <w:trPr>
          <w:trHeight w:val="1664"/>
        </w:trPr>
        <w:tc>
          <w:tcPr>
            <w:tcW w:w="5382" w:type="dxa"/>
          </w:tcPr>
          <w:p w14:paraId="228F9EE5" w14:textId="77777777" w:rsidR="0022455C" w:rsidRPr="0089741D" w:rsidRDefault="0022455C" w:rsidP="0022455C">
            <w:pPr>
              <w:pStyle w:val="ListParagraph"/>
              <w:numPr>
                <w:ilvl w:val="0"/>
                <w:numId w:val="4"/>
              </w:numPr>
              <w:jc w:val="left"/>
            </w:pPr>
            <w:r w:rsidRPr="0089741D">
              <w:t>Victim-survivors are informed about how their personal and sensitive information is collected, stored and shared, the extent and limitations of consent (where safe, reasonable and appropriate) and how they can request access and make amendments to their personal records.</w:t>
            </w:r>
          </w:p>
        </w:tc>
        <w:tc>
          <w:tcPr>
            <w:tcW w:w="1134" w:type="dxa"/>
          </w:tcPr>
          <w:p w14:paraId="7ACF78C0" w14:textId="77777777" w:rsidR="0022455C" w:rsidRPr="0089741D" w:rsidRDefault="0022455C" w:rsidP="00433440">
            <w:pPr>
              <w:pStyle w:val="ListParagraph"/>
              <w:ind w:left="0"/>
            </w:pPr>
          </w:p>
        </w:tc>
        <w:tc>
          <w:tcPr>
            <w:tcW w:w="3118" w:type="dxa"/>
          </w:tcPr>
          <w:p w14:paraId="04585B7C" w14:textId="77777777" w:rsidR="0022455C" w:rsidRPr="0089741D" w:rsidRDefault="0022455C" w:rsidP="00433440">
            <w:pPr>
              <w:pStyle w:val="ListParagraph"/>
              <w:ind w:left="0"/>
            </w:pPr>
          </w:p>
        </w:tc>
        <w:tc>
          <w:tcPr>
            <w:tcW w:w="3261" w:type="dxa"/>
          </w:tcPr>
          <w:p w14:paraId="4CBA4FBB" w14:textId="77777777" w:rsidR="0022455C" w:rsidRPr="0089741D" w:rsidRDefault="0022455C" w:rsidP="00433440">
            <w:pPr>
              <w:pStyle w:val="ListParagraph"/>
              <w:ind w:left="37"/>
            </w:pPr>
          </w:p>
        </w:tc>
        <w:tc>
          <w:tcPr>
            <w:tcW w:w="2126" w:type="dxa"/>
          </w:tcPr>
          <w:p w14:paraId="22918ECE" w14:textId="77777777" w:rsidR="0022455C" w:rsidRPr="0089741D" w:rsidRDefault="0022455C" w:rsidP="00433440">
            <w:pPr>
              <w:pStyle w:val="ListParagraph"/>
              <w:ind w:left="0"/>
            </w:pPr>
          </w:p>
        </w:tc>
        <w:tc>
          <w:tcPr>
            <w:tcW w:w="3118" w:type="dxa"/>
          </w:tcPr>
          <w:p w14:paraId="45202E75" w14:textId="77777777" w:rsidR="0022455C" w:rsidRPr="0089741D" w:rsidRDefault="0022455C" w:rsidP="00433440">
            <w:pPr>
              <w:pStyle w:val="ListParagraph"/>
              <w:ind w:left="0"/>
            </w:pPr>
          </w:p>
        </w:tc>
        <w:tc>
          <w:tcPr>
            <w:tcW w:w="3402" w:type="dxa"/>
          </w:tcPr>
          <w:p w14:paraId="7EA30C20" w14:textId="7BA86D6B" w:rsidR="0022455C" w:rsidRPr="0089741D" w:rsidRDefault="0022455C" w:rsidP="00433440">
            <w:pPr>
              <w:pStyle w:val="ListParagraph"/>
              <w:ind w:left="0"/>
            </w:pPr>
          </w:p>
        </w:tc>
      </w:tr>
      <w:tr w:rsidR="0022455C" w:rsidRPr="0089741D" w14:paraId="361FB2D1" w14:textId="77777777" w:rsidTr="0022455C">
        <w:trPr>
          <w:trHeight w:val="972"/>
        </w:trPr>
        <w:tc>
          <w:tcPr>
            <w:tcW w:w="5382" w:type="dxa"/>
          </w:tcPr>
          <w:p w14:paraId="57AE35DD" w14:textId="77777777" w:rsidR="0022455C" w:rsidRPr="0089741D" w:rsidRDefault="0022455C" w:rsidP="0022455C">
            <w:pPr>
              <w:pStyle w:val="ListParagraph"/>
              <w:numPr>
                <w:ilvl w:val="0"/>
                <w:numId w:val="4"/>
              </w:numPr>
              <w:jc w:val="left"/>
            </w:pPr>
            <w:r w:rsidRPr="0089741D">
              <w:t>Record keeping systems are securely stored and managed, with personal and sensitive information recorded in keeping with the purposes of service provision.</w:t>
            </w:r>
          </w:p>
        </w:tc>
        <w:tc>
          <w:tcPr>
            <w:tcW w:w="1134" w:type="dxa"/>
          </w:tcPr>
          <w:p w14:paraId="51554423" w14:textId="77777777" w:rsidR="0022455C" w:rsidRPr="0089741D" w:rsidRDefault="0022455C" w:rsidP="00433440">
            <w:pPr>
              <w:pStyle w:val="ListParagraph"/>
              <w:ind w:left="0"/>
            </w:pPr>
          </w:p>
        </w:tc>
        <w:tc>
          <w:tcPr>
            <w:tcW w:w="3118" w:type="dxa"/>
          </w:tcPr>
          <w:p w14:paraId="4F23DF49" w14:textId="77777777" w:rsidR="0022455C" w:rsidRPr="0089741D" w:rsidRDefault="0022455C" w:rsidP="00433440">
            <w:pPr>
              <w:pStyle w:val="ListParagraph"/>
              <w:ind w:left="0"/>
            </w:pPr>
          </w:p>
        </w:tc>
        <w:tc>
          <w:tcPr>
            <w:tcW w:w="3261" w:type="dxa"/>
          </w:tcPr>
          <w:p w14:paraId="2E39D4ED" w14:textId="77777777" w:rsidR="0022455C" w:rsidRPr="0089741D" w:rsidRDefault="0022455C" w:rsidP="00433440">
            <w:pPr>
              <w:pStyle w:val="ListParagraph"/>
              <w:ind w:left="37"/>
            </w:pPr>
          </w:p>
        </w:tc>
        <w:tc>
          <w:tcPr>
            <w:tcW w:w="2126" w:type="dxa"/>
          </w:tcPr>
          <w:p w14:paraId="7BAA6707" w14:textId="77777777" w:rsidR="0022455C" w:rsidRPr="0089741D" w:rsidRDefault="0022455C" w:rsidP="00433440">
            <w:pPr>
              <w:pStyle w:val="ListParagraph"/>
              <w:ind w:left="0"/>
            </w:pPr>
          </w:p>
        </w:tc>
        <w:tc>
          <w:tcPr>
            <w:tcW w:w="3118" w:type="dxa"/>
          </w:tcPr>
          <w:p w14:paraId="533F7D10" w14:textId="77777777" w:rsidR="0022455C" w:rsidRPr="0089741D" w:rsidRDefault="0022455C" w:rsidP="00433440">
            <w:pPr>
              <w:pStyle w:val="ListParagraph"/>
              <w:ind w:left="0"/>
            </w:pPr>
          </w:p>
        </w:tc>
        <w:tc>
          <w:tcPr>
            <w:tcW w:w="3402" w:type="dxa"/>
          </w:tcPr>
          <w:p w14:paraId="45ADC307" w14:textId="77777777" w:rsidR="0022455C" w:rsidRPr="0089741D" w:rsidRDefault="0022455C" w:rsidP="00433440">
            <w:pPr>
              <w:pStyle w:val="ListParagraph"/>
              <w:ind w:left="0"/>
            </w:pPr>
          </w:p>
        </w:tc>
      </w:tr>
      <w:tr w:rsidR="0022455C" w:rsidRPr="0089741D" w14:paraId="77F97E87" w14:textId="77777777" w:rsidTr="0022455C">
        <w:trPr>
          <w:trHeight w:val="70"/>
        </w:trPr>
        <w:tc>
          <w:tcPr>
            <w:tcW w:w="5382" w:type="dxa"/>
          </w:tcPr>
          <w:p w14:paraId="791BDC81" w14:textId="77777777" w:rsidR="0022455C" w:rsidRPr="0089741D" w:rsidRDefault="0022455C" w:rsidP="0022455C">
            <w:pPr>
              <w:pStyle w:val="ListParagraph"/>
              <w:numPr>
                <w:ilvl w:val="0"/>
                <w:numId w:val="4"/>
              </w:numPr>
              <w:jc w:val="left"/>
            </w:pPr>
            <w:r w:rsidRPr="0089741D">
              <w:t>When a victim-survivor is misidentified as a perpetrator, the service’s client records are corrected and appropriate risk assessment and risk management processes are applied to rectify the exacerbation of risk.</w:t>
            </w:r>
          </w:p>
        </w:tc>
        <w:tc>
          <w:tcPr>
            <w:tcW w:w="1134" w:type="dxa"/>
          </w:tcPr>
          <w:p w14:paraId="3CE7463C" w14:textId="77777777" w:rsidR="0022455C" w:rsidRPr="0089741D" w:rsidRDefault="0022455C" w:rsidP="00433440">
            <w:pPr>
              <w:pStyle w:val="ListParagraph"/>
              <w:ind w:left="0"/>
            </w:pPr>
          </w:p>
        </w:tc>
        <w:tc>
          <w:tcPr>
            <w:tcW w:w="3118" w:type="dxa"/>
          </w:tcPr>
          <w:p w14:paraId="0F7E51ED" w14:textId="77777777" w:rsidR="0022455C" w:rsidRPr="0089741D" w:rsidRDefault="0022455C" w:rsidP="00433440">
            <w:pPr>
              <w:pStyle w:val="ListParagraph"/>
              <w:ind w:left="0"/>
            </w:pPr>
          </w:p>
        </w:tc>
        <w:tc>
          <w:tcPr>
            <w:tcW w:w="3261" w:type="dxa"/>
          </w:tcPr>
          <w:p w14:paraId="7C19BAAD" w14:textId="77777777" w:rsidR="0022455C" w:rsidRPr="0089741D" w:rsidRDefault="0022455C" w:rsidP="00433440">
            <w:pPr>
              <w:pStyle w:val="ListParagraph"/>
              <w:ind w:left="37"/>
            </w:pPr>
          </w:p>
        </w:tc>
        <w:tc>
          <w:tcPr>
            <w:tcW w:w="2126" w:type="dxa"/>
          </w:tcPr>
          <w:p w14:paraId="021B66ED" w14:textId="77777777" w:rsidR="0022455C" w:rsidRPr="0089741D" w:rsidRDefault="0022455C" w:rsidP="00433440">
            <w:pPr>
              <w:pStyle w:val="ListParagraph"/>
              <w:ind w:left="0"/>
            </w:pPr>
          </w:p>
        </w:tc>
        <w:tc>
          <w:tcPr>
            <w:tcW w:w="3118" w:type="dxa"/>
          </w:tcPr>
          <w:p w14:paraId="7048511C" w14:textId="77777777" w:rsidR="0022455C" w:rsidRPr="0089741D" w:rsidRDefault="0022455C" w:rsidP="00433440">
            <w:pPr>
              <w:pStyle w:val="ListParagraph"/>
              <w:ind w:left="0"/>
            </w:pPr>
          </w:p>
        </w:tc>
        <w:tc>
          <w:tcPr>
            <w:tcW w:w="3402" w:type="dxa"/>
          </w:tcPr>
          <w:p w14:paraId="215C962A" w14:textId="77777777" w:rsidR="0022455C" w:rsidRPr="0089741D" w:rsidRDefault="0022455C" w:rsidP="00433440">
            <w:pPr>
              <w:pStyle w:val="ListParagraph"/>
              <w:ind w:left="0"/>
            </w:pPr>
          </w:p>
        </w:tc>
      </w:tr>
      <w:tr w:rsidR="0022455C" w:rsidRPr="0089741D" w14:paraId="436EC1FC" w14:textId="77777777" w:rsidTr="0022455C">
        <w:trPr>
          <w:trHeight w:val="758"/>
        </w:trPr>
        <w:tc>
          <w:tcPr>
            <w:tcW w:w="5382" w:type="dxa"/>
          </w:tcPr>
          <w:p w14:paraId="397806DE" w14:textId="77777777" w:rsidR="0022455C" w:rsidRPr="0089741D" w:rsidRDefault="0022455C" w:rsidP="0022455C">
            <w:pPr>
              <w:pStyle w:val="ListParagraph"/>
              <w:numPr>
                <w:ilvl w:val="0"/>
                <w:numId w:val="4"/>
              </w:numPr>
              <w:jc w:val="left"/>
            </w:pPr>
            <w:r w:rsidRPr="0089741D">
              <w:t>Precautions are taken to prioritise victim-survivors’ confidentiality when providing services in rural/regional locations or within close-knit social/cultural communities.</w:t>
            </w:r>
          </w:p>
        </w:tc>
        <w:tc>
          <w:tcPr>
            <w:tcW w:w="1134" w:type="dxa"/>
          </w:tcPr>
          <w:p w14:paraId="4CAC3602" w14:textId="77777777" w:rsidR="0022455C" w:rsidRPr="0089741D" w:rsidRDefault="0022455C" w:rsidP="00433440">
            <w:pPr>
              <w:pStyle w:val="ListParagraph"/>
              <w:ind w:left="0"/>
            </w:pPr>
          </w:p>
        </w:tc>
        <w:tc>
          <w:tcPr>
            <w:tcW w:w="3118" w:type="dxa"/>
          </w:tcPr>
          <w:p w14:paraId="05A0CFE2" w14:textId="77777777" w:rsidR="0022455C" w:rsidRPr="0089741D" w:rsidRDefault="0022455C" w:rsidP="00433440">
            <w:pPr>
              <w:pStyle w:val="ListParagraph"/>
              <w:ind w:left="0"/>
            </w:pPr>
          </w:p>
        </w:tc>
        <w:tc>
          <w:tcPr>
            <w:tcW w:w="3261" w:type="dxa"/>
          </w:tcPr>
          <w:p w14:paraId="0553CCD3" w14:textId="77777777" w:rsidR="0022455C" w:rsidRPr="0089741D" w:rsidRDefault="0022455C" w:rsidP="00433440">
            <w:pPr>
              <w:pStyle w:val="ListParagraph"/>
              <w:ind w:left="37"/>
            </w:pPr>
          </w:p>
        </w:tc>
        <w:tc>
          <w:tcPr>
            <w:tcW w:w="2126" w:type="dxa"/>
          </w:tcPr>
          <w:p w14:paraId="7AE56535" w14:textId="77777777" w:rsidR="0022455C" w:rsidRPr="0089741D" w:rsidRDefault="0022455C" w:rsidP="00433440">
            <w:pPr>
              <w:pStyle w:val="ListParagraph"/>
              <w:ind w:left="0"/>
            </w:pPr>
          </w:p>
        </w:tc>
        <w:tc>
          <w:tcPr>
            <w:tcW w:w="3118" w:type="dxa"/>
          </w:tcPr>
          <w:p w14:paraId="4D68A90D" w14:textId="77777777" w:rsidR="0022455C" w:rsidRPr="0089741D" w:rsidRDefault="0022455C" w:rsidP="00433440">
            <w:pPr>
              <w:pStyle w:val="ListParagraph"/>
              <w:ind w:left="0"/>
            </w:pPr>
          </w:p>
        </w:tc>
        <w:tc>
          <w:tcPr>
            <w:tcW w:w="3402" w:type="dxa"/>
          </w:tcPr>
          <w:p w14:paraId="432A28DF" w14:textId="77777777" w:rsidR="0022455C" w:rsidRPr="0089741D" w:rsidRDefault="0022455C" w:rsidP="00433440">
            <w:pPr>
              <w:pStyle w:val="ListParagraph"/>
              <w:ind w:left="0"/>
            </w:pPr>
          </w:p>
        </w:tc>
      </w:tr>
      <w:tr w:rsidR="0022455C" w:rsidRPr="0089741D" w14:paraId="4CA43BC9" w14:textId="77777777" w:rsidTr="0022455C">
        <w:trPr>
          <w:trHeight w:val="1157"/>
        </w:trPr>
        <w:tc>
          <w:tcPr>
            <w:tcW w:w="5382" w:type="dxa"/>
          </w:tcPr>
          <w:p w14:paraId="0B14CB9F" w14:textId="7BBD20C4" w:rsidR="0022455C" w:rsidRPr="00C51297" w:rsidRDefault="0022455C" w:rsidP="0022455C">
            <w:pPr>
              <w:pStyle w:val="ListParagraph"/>
              <w:numPr>
                <w:ilvl w:val="0"/>
                <w:numId w:val="4"/>
              </w:numPr>
              <w:jc w:val="left"/>
            </w:pPr>
            <w:r w:rsidRPr="00C51297">
              <w:t>The use of client data for reporting, systemic advocacy or continuous improvement is de-identified and not traceable to any particular individual or family.</w:t>
            </w:r>
            <w:r>
              <w:t xml:space="preserve">               </w:t>
            </w:r>
          </w:p>
        </w:tc>
        <w:tc>
          <w:tcPr>
            <w:tcW w:w="1134" w:type="dxa"/>
          </w:tcPr>
          <w:p w14:paraId="37D45BE4" w14:textId="77777777" w:rsidR="0022455C" w:rsidRPr="0089741D" w:rsidRDefault="0022455C" w:rsidP="00433440">
            <w:pPr>
              <w:pStyle w:val="ListParagraph"/>
              <w:ind w:left="0"/>
            </w:pPr>
          </w:p>
        </w:tc>
        <w:tc>
          <w:tcPr>
            <w:tcW w:w="3118" w:type="dxa"/>
          </w:tcPr>
          <w:p w14:paraId="68D61E74" w14:textId="77777777" w:rsidR="0022455C" w:rsidRPr="0089741D" w:rsidRDefault="0022455C" w:rsidP="00433440">
            <w:pPr>
              <w:pStyle w:val="ListParagraph"/>
              <w:ind w:left="0"/>
            </w:pPr>
          </w:p>
        </w:tc>
        <w:tc>
          <w:tcPr>
            <w:tcW w:w="3261" w:type="dxa"/>
          </w:tcPr>
          <w:p w14:paraId="795B462B" w14:textId="77777777" w:rsidR="0022455C" w:rsidRPr="0089741D" w:rsidRDefault="0022455C" w:rsidP="00433440">
            <w:pPr>
              <w:pStyle w:val="ListParagraph"/>
              <w:ind w:left="37"/>
            </w:pPr>
          </w:p>
        </w:tc>
        <w:tc>
          <w:tcPr>
            <w:tcW w:w="2126" w:type="dxa"/>
          </w:tcPr>
          <w:p w14:paraId="3D9FCD64" w14:textId="77777777" w:rsidR="0022455C" w:rsidRPr="0089741D" w:rsidRDefault="0022455C" w:rsidP="00433440">
            <w:pPr>
              <w:pStyle w:val="ListParagraph"/>
              <w:ind w:left="0"/>
            </w:pPr>
          </w:p>
        </w:tc>
        <w:tc>
          <w:tcPr>
            <w:tcW w:w="3118" w:type="dxa"/>
          </w:tcPr>
          <w:p w14:paraId="36975337" w14:textId="77777777" w:rsidR="0022455C" w:rsidRPr="0089741D" w:rsidRDefault="0022455C" w:rsidP="00433440">
            <w:pPr>
              <w:pStyle w:val="ListParagraph"/>
              <w:ind w:left="0"/>
            </w:pPr>
          </w:p>
        </w:tc>
        <w:tc>
          <w:tcPr>
            <w:tcW w:w="3402" w:type="dxa"/>
          </w:tcPr>
          <w:p w14:paraId="66602F4F" w14:textId="77777777" w:rsidR="0022455C" w:rsidRDefault="0022455C" w:rsidP="00433440">
            <w:pPr>
              <w:pStyle w:val="ListParagraph"/>
              <w:ind w:left="0"/>
            </w:pPr>
          </w:p>
          <w:p w14:paraId="1303CABC" w14:textId="77777777" w:rsidR="0022455C" w:rsidRDefault="0022455C" w:rsidP="00433440">
            <w:pPr>
              <w:pStyle w:val="ListParagraph"/>
              <w:ind w:left="0"/>
            </w:pPr>
          </w:p>
          <w:p w14:paraId="13854A64" w14:textId="77777777" w:rsidR="0022455C" w:rsidRDefault="0022455C" w:rsidP="00433440">
            <w:pPr>
              <w:pStyle w:val="ListParagraph"/>
              <w:ind w:left="0"/>
            </w:pPr>
          </w:p>
          <w:p w14:paraId="7B83ABBA" w14:textId="77777777" w:rsidR="0022455C" w:rsidRDefault="0022455C" w:rsidP="00433440">
            <w:pPr>
              <w:pStyle w:val="ListParagraph"/>
              <w:ind w:left="0"/>
            </w:pPr>
          </w:p>
          <w:p w14:paraId="055FF0C4" w14:textId="77777777" w:rsidR="0022455C" w:rsidRPr="0089741D" w:rsidRDefault="0022455C" w:rsidP="00433440">
            <w:pPr>
              <w:pStyle w:val="ListParagraph"/>
              <w:ind w:left="0"/>
            </w:pPr>
          </w:p>
        </w:tc>
      </w:tr>
    </w:tbl>
    <w:p w14:paraId="0B5310F7" w14:textId="70D6CCF7" w:rsidR="0022455C" w:rsidRDefault="0022455C" w:rsidP="0022455C"/>
    <w:p w14:paraId="7B8218BD" w14:textId="48FBF1FC" w:rsidR="00057A11" w:rsidRDefault="00057A11" w:rsidP="0022455C"/>
    <w:p w14:paraId="047F3CF9" w14:textId="2052C991" w:rsidR="00057A11" w:rsidRDefault="00057A11" w:rsidP="0022455C"/>
    <w:p w14:paraId="230B807E" w14:textId="0B4D19D3" w:rsidR="00057A11" w:rsidRDefault="00057A11" w:rsidP="0022455C"/>
    <w:p w14:paraId="27E46209" w14:textId="7F91B773" w:rsidR="00057A11" w:rsidRDefault="00057A11" w:rsidP="0022455C"/>
    <w:p w14:paraId="1437C239" w14:textId="3A22B988" w:rsidR="00057A11" w:rsidRDefault="00057A11" w:rsidP="0022455C"/>
    <w:p w14:paraId="6134726B" w14:textId="34164ECF" w:rsidR="00057A11" w:rsidRDefault="00057A11" w:rsidP="0022455C"/>
    <w:p w14:paraId="56DA302B" w14:textId="0B76BAB7" w:rsidR="00057A11" w:rsidRDefault="00057A11" w:rsidP="0022455C"/>
    <w:p w14:paraId="64E5B0D5" w14:textId="5ABDB79D" w:rsidR="00057A11" w:rsidRDefault="00057A11" w:rsidP="0022455C"/>
    <w:p w14:paraId="3B39F2E1" w14:textId="39276A58" w:rsidR="00057A11" w:rsidRDefault="00057A11" w:rsidP="0022455C"/>
    <w:p w14:paraId="38278C2F" w14:textId="6039B539" w:rsidR="00057A11" w:rsidRDefault="00057A11" w:rsidP="0022455C"/>
    <w:p w14:paraId="20EA36DB" w14:textId="54473FA8" w:rsidR="00057A11" w:rsidRDefault="00057A11" w:rsidP="0022455C"/>
    <w:p w14:paraId="4C61F08A" w14:textId="6455B62C" w:rsidR="00057A11" w:rsidRDefault="00057A11" w:rsidP="0022455C"/>
    <w:p w14:paraId="473AA03C" w14:textId="2F21E701" w:rsidR="00057A11" w:rsidRDefault="00057A11" w:rsidP="0022455C"/>
    <w:p w14:paraId="42A7D699" w14:textId="3BE07F21" w:rsidR="00057A11" w:rsidRDefault="00057A11" w:rsidP="0022455C"/>
    <w:p w14:paraId="2E79DCC5" w14:textId="77777777" w:rsidR="00057A11" w:rsidRDefault="00057A11" w:rsidP="0022455C"/>
    <w:p w14:paraId="2D22B657" w14:textId="5F911F33" w:rsidR="0022455C" w:rsidRDefault="0022455C" w:rsidP="0022455C">
      <w:pPr>
        <w:pStyle w:val="Heading2"/>
      </w:pPr>
      <w:r w:rsidRPr="0089741D">
        <w:lastRenderedPageBreak/>
        <w:t>Principle 4: Collaboration and Advocacy</w:t>
      </w:r>
    </w:p>
    <w:p w14:paraId="1148B3B4" w14:textId="4CE79E04" w:rsidR="0022455C" w:rsidRDefault="0022455C" w:rsidP="0022455C">
      <w:pPr>
        <w:pStyle w:val="Heading3"/>
      </w:pPr>
      <w:r>
        <w:t xml:space="preserve">Standard </w:t>
      </w:r>
      <w:r w:rsidRPr="0089741D">
        <w:t>4.1 The service manages facilitated referrals and secondary consultations</w:t>
      </w:r>
      <w:r>
        <w:t>.</w:t>
      </w:r>
    </w:p>
    <w:p w14:paraId="315D061E" w14:textId="77777777" w:rsidR="0022455C" w:rsidRPr="0089741D" w:rsidRDefault="0022455C" w:rsidP="0022455C">
      <w:r w:rsidRPr="0089741D">
        <w:t>HSS: (2) Access and engagement</w:t>
      </w:r>
    </w:p>
    <w:p w14:paraId="6CA5D804" w14:textId="50DA344D" w:rsidR="0022455C" w:rsidRDefault="0022455C" w:rsidP="0022455C">
      <w:r w:rsidRPr="0089741D">
        <w:t>QGF</w:t>
      </w:r>
      <w:r>
        <w:t xml:space="preserve"> domains</w:t>
      </w:r>
      <w:r w:rsidRPr="0089741D">
        <w:t xml:space="preserve">: </w:t>
      </w:r>
      <w:r>
        <w:t>Workforce; Best practice</w:t>
      </w:r>
    </w:p>
    <w:p w14:paraId="5E1559DE" w14:textId="74258910" w:rsidR="0022455C" w:rsidRDefault="0022455C" w:rsidP="0022455C"/>
    <w:tbl>
      <w:tblPr>
        <w:tblStyle w:val="TableGridLight"/>
        <w:tblW w:w="21541" w:type="dxa"/>
        <w:tblLook w:val="0020" w:firstRow="1" w:lastRow="0" w:firstColumn="0" w:lastColumn="0" w:noHBand="0" w:noVBand="0"/>
      </w:tblPr>
      <w:tblGrid>
        <w:gridCol w:w="5382"/>
        <w:gridCol w:w="1134"/>
        <w:gridCol w:w="3118"/>
        <w:gridCol w:w="3261"/>
        <w:gridCol w:w="2126"/>
        <w:gridCol w:w="3118"/>
        <w:gridCol w:w="3402"/>
      </w:tblGrid>
      <w:tr w:rsidR="0022455C" w:rsidRPr="0089741D" w14:paraId="777E5379" w14:textId="77777777" w:rsidTr="0022455C">
        <w:trPr>
          <w:trHeight w:val="70"/>
        </w:trPr>
        <w:tc>
          <w:tcPr>
            <w:tcW w:w="5382" w:type="dxa"/>
            <w:shd w:val="clear" w:color="auto" w:fill="F2F2F2" w:themeFill="background1" w:themeFillShade="F2"/>
          </w:tcPr>
          <w:p w14:paraId="57F9A3AE" w14:textId="77777777" w:rsidR="0022455C" w:rsidRPr="0089741D" w:rsidRDefault="0022455C" w:rsidP="00DB13FF">
            <w:r w:rsidRPr="0089741D">
              <w:t>INDICATORS</w:t>
            </w:r>
          </w:p>
        </w:tc>
        <w:tc>
          <w:tcPr>
            <w:tcW w:w="1134" w:type="dxa"/>
            <w:shd w:val="clear" w:color="auto" w:fill="F2F2F2" w:themeFill="background1" w:themeFillShade="F2"/>
          </w:tcPr>
          <w:p w14:paraId="1F091F2F" w14:textId="77777777" w:rsidR="0022455C" w:rsidRPr="0089741D" w:rsidRDefault="0022455C" w:rsidP="00DB13FF">
            <w:r w:rsidRPr="0089741D">
              <w:t>RATING</w:t>
            </w:r>
          </w:p>
        </w:tc>
        <w:tc>
          <w:tcPr>
            <w:tcW w:w="3118" w:type="dxa"/>
            <w:shd w:val="clear" w:color="auto" w:fill="F2F2F2" w:themeFill="background1" w:themeFillShade="F2"/>
          </w:tcPr>
          <w:p w14:paraId="3BFE00CD" w14:textId="77777777" w:rsidR="0022455C" w:rsidRPr="0089741D" w:rsidRDefault="0022455C" w:rsidP="00DB13FF">
            <w:r w:rsidRPr="0089741D">
              <w:t xml:space="preserve">EVIDENCE </w:t>
            </w:r>
          </w:p>
        </w:tc>
        <w:tc>
          <w:tcPr>
            <w:tcW w:w="3261" w:type="dxa"/>
            <w:shd w:val="clear" w:color="auto" w:fill="F2F2F2" w:themeFill="background1" w:themeFillShade="F2"/>
          </w:tcPr>
          <w:p w14:paraId="1A719131" w14:textId="77777777" w:rsidR="0022455C" w:rsidRPr="0089741D" w:rsidRDefault="0022455C" w:rsidP="00DB13FF">
            <w:r w:rsidRPr="0089741D">
              <w:t xml:space="preserve">IMPROVEMENT ACTIONS </w:t>
            </w:r>
          </w:p>
        </w:tc>
        <w:tc>
          <w:tcPr>
            <w:tcW w:w="2126" w:type="dxa"/>
            <w:shd w:val="clear" w:color="auto" w:fill="F2F2F2" w:themeFill="background1" w:themeFillShade="F2"/>
          </w:tcPr>
          <w:p w14:paraId="11DBBAAD" w14:textId="77777777" w:rsidR="0022455C" w:rsidRPr="0089741D" w:rsidRDefault="0022455C" w:rsidP="00DB13FF">
            <w:r w:rsidRPr="0089741D">
              <w:t>TIMEFRAME</w:t>
            </w:r>
          </w:p>
        </w:tc>
        <w:tc>
          <w:tcPr>
            <w:tcW w:w="3118" w:type="dxa"/>
            <w:shd w:val="clear" w:color="auto" w:fill="F2F2F2" w:themeFill="background1" w:themeFillShade="F2"/>
          </w:tcPr>
          <w:p w14:paraId="35954954" w14:textId="77777777" w:rsidR="0022455C" w:rsidRPr="0089741D" w:rsidRDefault="0022455C" w:rsidP="00DB13FF">
            <w:r w:rsidRPr="0089741D">
              <w:t>PERSON(S) RESPONSIBLE</w:t>
            </w:r>
          </w:p>
        </w:tc>
        <w:tc>
          <w:tcPr>
            <w:tcW w:w="3402" w:type="dxa"/>
            <w:shd w:val="clear" w:color="auto" w:fill="F2F2F2" w:themeFill="background1" w:themeFillShade="F2"/>
          </w:tcPr>
          <w:p w14:paraId="3B2AE41F" w14:textId="77777777" w:rsidR="0022455C" w:rsidRPr="0089741D" w:rsidRDefault="0022455C" w:rsidP="00DB13FF">
            <w:r w:rsidRPr="0089741D">
              <w:t>OUTCOME</w:t>
            </w:r>
          </w:p>
        </w:tc>
      </w:tr>
      <w:tr w:rsidR="0022455C" w:rsidRPr="0089741D" w14:paraId="298A34EC" w14:textId="77777777" w:rsidTr="0022455C">
        <w:trPr>
          <w:trHeight w:val="706"/>
        </w:trPr>
        <w:tc>
          <w:tcPr>
            <w:tcW w:w="5382" w:type="dxa"/>
          </w:tcPr>
          <w:p w14:paraId="44553D78" w14:textId="64D7587D" w:rsidR="0022455C" w:rsidRPr="00A7656F" w:rsidRDefault="00086072" w:rsidP="0022455C">
            <w:pPr>
              <w:pStyle w:val="ListParagraph"/>
              <w:numPr>
                <w:ilvl w:val="0"/>
                <w:numId w:val="5"/>
              </w:numPr>
              <w:jc w:val="left"/>
            </w:pPr>
            <w:r>
              <w:t>Processes</w:t>
            </w:r>
            <w:r w:rsidR="0022455C" w:rsidRPr="00C92142">
              <w:t xml:space="preserve"> are in place to manage facilitated referrals and secondary consultations in accordance with the </w:t>
            </w:r>
            <w:r w:rsidR="0022455C" w:rsidRPr="00C92142">
              <w:rPr>
                <w:i/>
                <w:iCs/>
              </w:rPr>
              <w:t>MARAM Framework</w:t>
            </w:r>
            <w:r w:rsidR="0022455C" w:rsidRPr="00C92142">
              <w:t xml:space="preserve"> and privacy and information sharing</w:t>
            </w:r>
            <w:r w:rsidR="0022455C">
              <w:t xml:space="preserve"> </w:t>
            </w:r>
            <w:r w:rsidR="0022455C" w:rsidRPr="00C92142">
              <w:t>legislation.</w:t>
            </w:r>
          </w:p>
        </w:tc>
        <w:tc>
          <w:tcPr>
            <w:tcW w:w="1134" w:type="dxa"/>
          </w:tcPr>
          <w:p w14:paraId="15240FD2" w14:textId="77777777" w:rsidR="0022455C" w:rsidRPr="0089741D" w:rsidRDefault="0022455C" w:rsidP="00433440">
            <w:pPr>
              <w:pStyle w:val="ListParagraph"/>
              <w:ind w:left="33"/>
            </w:pPr>
          </w:p>
        </w:tc>
        <w:tc>
          <w:tcPr>
            <w:tcW w:w="3118" w:type="dxa"/>
          </w:tcPr>
          <w:p w14:paraId="237F9BFF" w14:textId="77777777" w:rsidR="0022455C" w:rsidRPr="0089741D" w:rsidRDefault="0022455C" w:rsidP="00433440">
            <w:pPr>
              <w:pStyle w:val="ListParagraph"/>
              <w:ind w:left="39"/>
            </w:pPr>
          </w:p>
        </w:tc>
        <w:tc>
          <w:tcPr>
            <w:tcW w:w="3261" w:type="dxa"/>
          </w:tcPr>
          <w:p w14:paraId="71903BA8" w14:textId="77777777" w:rsidR="0022455C" w:rsidRPr="0089741D" w:rsidRDefault="0022455C" w:rsidP="00433440">
            <w:pPr>
              <w:pStyle w:val="ListParagraph"/>
              <w:ind w:left="0"/>
            </w:pPr>
          </w:p>
        </w:tc>
        <w:tc>
          <w:tcPr>
            <w:tcW w:w="2126" w:type="dxa"/>
          </w:tcPr>
          <w:p w14:paraId="454D9ACF" w14:textId="77777777" w:rsidR="0022455C" w:rsidRPr="0089741D" w:rsidRDefault="0022455C" w:rsidP="00433440">
            <w:pPr>
              <w:pStyle w:val="ListParagraph"/>
              <w:ind w:left="0"/>
            </w:pPr>
          </w:p>
        </w:tc>
        <w:tc>
          <w:tcPr>
            <w:tcW w:w="3118" w:type="dxa"/>
          </w:tcPr>
          <w:p w14:paraId="4D38DDED" w14:textId="77777777" w:rsidR="0022455C" w:rsidRPr="0089741D" w:rsidRDefault="0022455C" w:rsidP="00433440">
            <w:pPr>
              <w:pStyle w:val="ListParagraph"/>
              <w:ind w:left="0"/>
            </w:pPr>
          </w:p>
        </w:tc>
        <w:tc>
          <w:tcPr>
            <w:tcW w:w="3402" w:type="dxa"/>
          </w:tcPr>
          <w:p w14:paraId="19A6A810" w14:textId="77777777" w:rsidR="0022455C" w:rsidRPr="0089741D" w:rsidRDefault="0022455C" w:rsidP="00433440">
            <w:pPr>
              <w:pStyle w:val="ListParagraph"/>
              <w:ind w:left="0"/>
            </w:pPr>
          </w:p>
        </w:tc>
      </w:tr>
      <w:tr w:rsidR="0022455C" w:rsidRPr="0089741D" w14:paraId="11CD52FF" w14:textId="77777777" w:rsidTr="0022455C">
        <w:trPr>
          <w:trHeight w:val="706"/>
        </w:trPr>
        <w:tc>
          <w:tcPr>
            <w:tcW w:w="5382" w:type="dxa"/>
          </w:tcPr>
          <w:p w14:paraId="361D03AC" w14:textId="5FBA70E1" w:rsidR="0022455C" w:rsidRPr="0089741D" w:rsidRDefault="0022455C" w:rsidP="0022455C">
            <w:pPr>
              <w:pStyle w:val="ListParagraph"/>
              <w:numPr>
                <w:ilvl w:val="0"/>
                <w:numId w:val="5"/>
              </w:numPr>
              <w:jc w:val="left"/>
            </w:pPr>
            <w:r w:rsidRPr="0089741D">
              <w:t>Facilitated referrals are made with victim-survivors’ informed consent (where safe and reasonable to do so) and proactively address any barriers that may prevent engagement.</w:t>
            </w:r>
          </w:p>
        </w:tc>
        <w:tc>
          <w:tcPr>
            <w:tcW w:w="1134" w:type="dxa"/>
          </w:tcPr>
          <w:p w14:paraId="1222B155" w14:textId="77777777" w:rsidR="0022455C" w:rsidRPr="0089741D" w:rsidRDefault="0022455C" w:rsidP="00433440">
            <w:pPr>
              <w:pStyle w:val="ListParagraph"/>
              <w:ind w:left="33"/>
            </w:pPr>
          </w:p>
        </w:tc>
        <w:tc>
          <w:tcPr>
            <w:tcW w:w="3118" w:type="dxa"/>
          </w:tcPr>
          <w:p w14:paraId="57F9C72B" w14:textId="77777777" w:rsidR="0022455C" w:rsidRPr="0089741D" w:rsidRDefault="0022455C" w:rsidP="00433440">
            <w:pPr>
              <w:pStyle w:val="ListParagraph"/>
              <w:ind w:left="39"/>
            </w:pPr>
          </w:p>
        </w:tc>
        <w:tc>
          <w:tcPr>
            <w:tcW w:w="3261" w:type="dxa"/>
          </w:tcPr>
          <w:p w14:paraId="245AACCA" w14:textId="77777777" w:rsidR="0022455C" w:rsidRPr="0089741D" w:rsidRDefault="0022455C" w:rsidP="00433440">
            <w:pPr>
              <w:pStyle w:val="ListParagraph"/>
              <w:ind w:left="0"/>
            </w:pPr>
          </w:p>
        </w:tc>
        <w:tc>
          <w:tcPr>
            <w:tcW w:w="2126" w:type="dxa"/>
          </w:tcPr>
          <w:p w14:paraId="45A39800" w14:textId="77777777" w:rsidR="0022455C" w:rsidRPr="0089741D" w:rsidRDefault="0022455C" w:rsidP="00433440">
            <w:pPr>
              <w:pStyle w:val="ListParagraph"/>
              <w:ind w:left="0"/>
            </w:pPr>
          </w:p>
        </w:tc>
        <w:tc>
          <w:tcPr>
            <w:tcW w:w="3118" w:type="dxa"/>
          </w:tcPr>
          <w:p w14:paraId="300B10F1" w14:textId="77777777" w:rsidR="0022455C" w:rsidRPr="0089741D" w:rsidRDefault="0022455C" w:rsidP="00433440">
            <w:pPr>
              <w:pStyle w:val="ListParagraph"/>
              <w:ind w:left="0"/>
            </w:pPr>
          </w:p>
        </w:tc>
        <w:tc>
          <w:tcPr>
            <w:tcW w:w="3402" w:type="dxa"/>
          </w:tcPr>
          <w:p w14:paraId="3395B855" w14:textId="77777777" w:rsidR="0022455C" w:rsidRPr="0089741D" w:rsidRDefault="0022455C" w:rsidP="00433440">
            <w:pPr>
              <w:pStyle w:val="ListParagraph"/>
              <w:ind w:left="0"/>
            </w:pPr>
          </w:p>
        </w:tc>
      </w:tr>
      <w:tr w:rsidR="0022455C" w:rsidRPr="0089741D" w14:paraId="055C84F3" w14:textId="77777777" w:rsidTr="0022455C">
        <w:trPr>
          <w:trHeight w:val="706"/>
        </w:trPr>
        <w:tc>
          <w:tcPr>
            <w:tcW w:w="5382" w:type="dxa"/>
          </w:tcPr>
          <w:p w14:paraId="0CF5CA5F" w14:textId="77777777" w:rsidR="0022455C" w:rsidRPr="0089741D" w:rsidRDefault="0022455C" w:rsidP="0022455C">
            <w:pPr>
              <w:pStyle w:val="ListParagraph"/>
              <w:numPr>
                <w:ilvl w:val="0"/>
                <w:numId w:val="5"/>
              </w:numPr>
              <w:jc w:val="left"/>
            </w:pPr>
            <w:r w:rsidRPr="0089741D">
              <w:t>Secondary consultations are sought from other services to plan for victim-survivors’ safety and support needs and to enable inclusive and culturally safe responses.</w:t>
            </w:r>
          </w:p>
        </w:tc>
        <w:tc>
          <w:tcPr>
            <w:tcW w:w="1134" w:type="dxa"/>
          </w:tcPr>
          <w:p w14:paraId="4C6147CC" w14:textId="77777777" w:rsidR="0022455C" w:rsidRPr="0089741D" w:rsidRDefault="0022455C" w:rsidP="00433440">
            <w:pPr>
              <w:pStyle w:val="ListParagraph"/>
              <w:ind w:left="33"/>
            </w:pPr>
          </w:p>
        </w:tc>
        <w:tc>
          <w:tcPr>
            <w:tcW w:w="3118" w:type="dxa"/>
          </w:tcPr>
          <w:p w14:paraId="4B0C3A2C" w14:textId="77777777" w:rsidR="0022455C" w:rsidRPr="0089741D" w:rsidRDefault="0022455C" w:rsidP="00433440">
            <w:pPr>
              <w:pStyle w:val="ListParagraph"/>
              <w:ind w:left="39"/>
            </w:pPr>
          </w:p>
        </w:tc>
        <w:tc>
          <w:tcPr>
            <w:tcW w:w="3261" w:type="dxa"/>
          </w:tcPr>
          <w:p w14:paraId="2F207464" w14:textId="77777777" w:rsidR="0022455C" w:rsidRPr="0089741D" w:rsidRDefault="0022455C" w:rsidP="00433440">
            <w:pPr>
              <w:pStyle w:val="ListParagraph"/>
              <w:ind w:left="0"/>
            </w:pPr>
          </w:p>
        </w:tc>
        <w:tc>
          <w:tcPr>
            <w:tcW w:w="2126" w:type="dxa"/>
          </w:tcPr>
          <w:p w14:paraId="0B1DE1F8" w14:textId="77777777" w:rsidR="0022455C" w:rsidRPr="0089741D" w:rsidRDefault="0022455C" w:rsidP="00433440">
            <w:pPr>
              <w:pStyle w:val="ListParagraph"/>
              <w:ind w:left="0"/>
            </w:pPr>
          </w:p>
        </w:tc>
        <w:tc>
          <w:tcPr>
            <w:tcW w:w="3118" w:type="dxa"/>
          </w:tcPr>
          <w:p w14:paraId="14729F11" w14:textId="77777777" w:rsidR="0022455C" w:rsidRPr="0089741D" w:rsidRDefault="0022455C" w:rsidP="00433440">
            <w:pPr>
              <w:pStyle w:val="ListParagraph"/>
              <w:ind w:left="0"/>
            </w:pPr>
          </w:p>
        </w:tc>
        <w:tc>
          <w:tcPr>
            <w:tcW w:w="3402" w:type="dxa"/>
          </w:tcPr>
          <w:p w14:paraId="0C4D1CF4" w14:textId="77777777" w:rsidR="0022455C" w:rsidRPr="0089741D" w:rsidRDefault="0022455C" w:rsidP="00433440">
            <w:pPr>
              <w:pStyle w:val="ListParagraph"/>
              <w:ind w:left="0"/>
            </w:pPr>
          </w:p>
        </w:tc>
      </w:tr>
      <w:tr w:rsidR="0022455C" w:rsidRPr="0089741D" w14:paraId="5D162316" w14:textId="77777777" w:rsidTr="0022455C">
        <w:trPr>
          <w:trHeight w:val="706"/>
        </w:trPr>
        <w:tc>
          <w:tcPr>
            <w:tcW w:w="5382" w:type="dxa"/>
          </w:tcPr>
          <w:p w14:paraId="49651C9E" w14:textId="77777777" w:rsidR="0022455C" w:rsidRPr="0089741D" w:rsidRDefault="0022455C" w:rsidP="0022455C">
            <w:pPr>
              <w:pStyle w:val="ListParagraph"/>
              <w:numPr>
                <w:ilvl w:val="0"/>
                <w:numId w:val="5"/>
              </w:numPr>
              <w:jc w:val="left"/>
            </w:pPr>
            <w:r w:rsidRPr="0089741D">
              <w:t>Secondary consultations are provided to other agencies in a timely manner by suitably qualified and experienced specialist family violence practitioners.</w:t>
            </w:r>
          </w:p>
        </w:tc>
        <w:tc>
          <w:tcPr>
            <w:tcW w:w="1134" w:type="dxa"/>
          </w:tcPr>
          <w:p w14:paraId="4707B808" w14:textId="77777777" w:rsidR="0022455C" w:rsidRPr="0089741D" w:rsidRDefault="0022455C" w:rsidP="00433440">
            <w:pPr>
              <w:pStyle w:val="ListParagraph"/>
              <w:ind w:left="33"/>
            </w:pPr>
          </w:p>
        </w:tc>
        <w:tc>
          <w:tcPr>
            <w:tcW w:w="3118" w:type="dxa"/>
          </w:tcPr>
          <w:p w14:paraId="0E2BF48F" w14:textId="77777777" w:rsidR="0022455C" w:rsidRPr="0089741D" w:rsidRDefault="0022455C" w:rsidP="00433440">
            <w:pPr>
              <w:pStyle w:val="ListParagraph"/>
              <w:ind w:left="39"/>
            </w:pPr>
          </w:p>
        </w:tc>
        <w:tc>
          <w:tcPr>
            <w:tcW w:w="3261" w:type="dxa"/>
          </w:tcPr>
          <w:p w14:paraId="4751C9C5" w14:textId="77777777" w:rsidR="0022455C" w:rsidRPr="0089741D" w:rsidRDefault="0022455C" w:rsidP="00433440">
            <w:pPr>
              <w:pStyle w:val="ListParagraph"/>
              <w:ind w:left="0"/>
            </w:pPr>
          </w:p>
        </w:tc>
        <w:tc>
          <w:tcPr>
            <w:tcW w:w="2126" w:type="dxa"/>
          </w:tcPr>
          <w:p w14:paraId="27B670C5" w14:textId="77777777" w:rsidR="0022455C" w:rsidRPr="0089741D" w:rsidRDefault="0022455C" w:rsidP="00433440">
            <w:pPr>
              <w:pStyle w:val="ListParagraph"/>
              <w:ind w:left="0"/>
            </w:pPr>
          </w:p>
        </w:tc>
        <w:tc>
          <w:tcPr>
            <w:tcW w:w="3118" w:type="dxa"/>
          </w:tcPr>
          <w:p w14:paraId="1D11061E" w14:textId="77777777" w:rsidR="0022455C" w:rsidRPr="0089741D" w:rsidRDefault="0022455C" w:rsidP="00433440">
            <w:pPr>
              <w:pStyle w:val="ListParagraph"/>
              <w:ind w:left="0"/>
            </w:pPr>
          </w:p>
        </w:tc>
        <w:tc>
          <w:tcPr>
            <w:tcW w:w="3402" w:type="dxa"/>
          </w:tcPr>
          <w:p w14:paraId="31246A7E" w14:textId="77777777" w:rsidR="0022455C" w:rsidRPr="0089741D" w:rsidRDefault="0022455C" w:rsidP="00433440">
            <w:pPr>
              <w:pStyle w:val="ListParagraph"/>
              <w:ind w:left="0"/>
            </w:pPr>
          </w:p>
        </w:tc>
      </w:tr>
    </w:tbl>
    <w:p w14:paraId="5F082ED6" w14:textId="3969C74F" w:rsidR="0022455C" w:rsidRDefault="0022455C" w:rsidP="0022455C"/>
    <w:p w14:paraId="2A0FEC8E" w14:textId="77777777" w:rsidR="008C0A87" w:rsidRDefault="008C0A87" w:rsidP="0022455C"/>
    <w:p w14:paraId="6B5314B7" w14:textId="1C01D301" w:rsidR="008C0A87" w:rsidRDefault="008C0A87" w:rsidP="008C0A87">
      <w:pPr>
        <w:pStyle w:val="Heading3"/>
      </w:pPr>
      <w:r>
        <w:t xml:space="preserve">Standard </w:t>
      </w:r>
      <w:r w:rsidRPr="0089741D">
        <w:t>4.2 The service mobilises coordinated responses to address family violence risk and case plan goals.</w:t>
      </w:r>
    </w:p>
    <w:p w14:paraId="6F6974E1" w14:textId="77777777" w:rsidR="008C0A87" w:rsidRPr="0089741D" w:rsidRDefault="008C0A87" w:rsidP="008C0A87">
      <w:r w:rsidRPr="0089741D">
        <w:t>HSS: (2) Access and engagement; (3) Wellbeing</w:t>
      </w:r>
    </w:p>
    <w:p w14:paraId="3B9C60DA" w14:textId="3E5A6C65" w:rsidR="008C0A87" w:rsidRDefault="008C0A87" w:rsidP="008C0A87">
      <w:r w:rsidRPr="0089741D">
        <w:t>QGF</w:t>
      </w:r>
      <w:r>
        <w:t xml:space="preserve"> domains</w:t>
      </w:r>
      <w:r w:rsidRPr="0089741D">
        <w:t xml:space="preserve">: </w:t>
      </w:r>
      <w:r>
        <w:t>Workforce; Best practice</w:t>
      </w:r>
    </w:p>
    <w:p w14:paraId="2DFD34A3" w14:textId="65D911CD" w:rsidR="008C0A87" w:rsidRDefault="008C0A87" w:rsidP="008C0A87"/>
    <w:tbl>
      <w:tblPr>
        <w:tblStyle w:val="TableGridLight"/>
        <w:tblW w:w="21541" w:type="dxa"/>
        <w:tblLook w:val="0020" w:firstRow="1" w:lastRow="0" w:firstColumn="0" w:lastColumn="0" w:noHBand="0" w:noVBand="0"/>
      </w:tblPr>
      <w:tblGrid>
        <w:gridCol w:w="5382"/>
        <w:gridCol w:w="1134"/>
        <w:gridCol w:w="3118"/>
        <w:gridCol w:w="3261"/>
        <w:gridCol w:w="2126"/>
        <w:gridCol w:w="3118"/>
        <w:gridCol w:w="3402"/>
      </w:tblGrid>
      <w:tr w:rsidR="008C0A87" w:rsidRPr="0089741D" w14:paraId="687A7E4C" w14:textId="77777777" w:rsidTr="00DB13FF">
        <w:trPr>
          <w:trHeight w:val="70"/>
        </w:trPr>
        <w:tc>
          <w:tcPr>
            <w:tcW w:w="5382" w:type="dxa"/>
            <w:shd w:val="clear" w:color="auto" w:fill="F2F2F2" w:themeFill="background1" w:themeFillShade="F2"/>
          </w:tcPr>
          <w:p w14:paraId="5CE14BB6" w14:textId="77777777" w:rsidR="008C0A87" w:rsidRPr="0089741D" w:rsidRDefault="008C0A87" w:rsidP="00DB13FF">
            <w:r w:rsidRPr="0089741D">
              <w:t>INDICATORS</w:t>
            </w:r>
          </w:p>
        </w:tc>
        <w:tc>
          <w:tcPr>
            <w:tcW w:w="1134" w:type="dxa"/>
            <w:shd w:val="clear" w:color="auto" w:fill="F2F2F2" w:themeFill="background1" w:themeFillShade="F2"/>
          </w:tcPr>
          <w:p w14:paraId="4A226E8A" w14:textId="77777777" w:rsidR="008C0A87" w:rsidRPr="0089741D" w:rsidRDefault="008C0A87" w:rsidP="00DB13FF">
            <w:r w:rsidRPr="0089741D">
              <w:t>RATING</w:t>
            </w:r>
          </w:p>
        </w:tc>
        <w:tc>
          <w:tcPr>
            <w:tcW w:w="3118" w:type="dxa"/>
            <w:shd w:val="clear" w:color="auto" w:fill="F2F2F2" w:themeFill="background1" w:themeFillShade="F2"/>
          </w:tcPr>
          <w:p w14:paraId="25F793C7" w14:textId="77777777" w:rsidR="008C0A87" w:rsidRPr="0089741D" w:rsidRDefault="008C0A87" w:rsidP="00DB13FF">
            <w:r w:rsidRPr="0089741D">
              <w:t xml:space="preserve">EVIDENCE </w:t>
            </w:r>
          </w:p>
        </w:tc>
        <w:tc>
          <w:tcPr>
            <w:tcW w:w="3261" w:type="dxa"/>
            <w:shd w:val="clear" w:color="auto" w:fill="F2F2F2" w:themeFill="background1" w:themeFillShade="F2"/>
          </w:tcPr>
          <w:p w14:paraId="25ED057F" w14:textId="77777777" w:rsidR="008C0A87" w:rsidRPr="0089741D" w:rsidRDefault="008C0A87" w:rsidP="00DB13FF">
            <w:r w:rsidRPr="0089741D">
              <w:t xml:space="preserve">IMPROVEMENT ACTIONS </w:t>
            </w:r>
          </w:p>
        </w:tc>
        <w:tc>
          <w:tcPr>
            <w:tcW w:w="2126" w:type="dxa"/>
            <w:shd w:val="clear" w:color="auto" w:fill="F2F2F2" w:themeFill="background1" w:themeFillShade="F2"/>
          </w:tcPr>
          <w:p w14:paraId="10F8A890" w14:textId="77777777" w:rsidR="008C0A87" w:rsidRPr="0089741D" w:rsidRDefault="008C0A87" w:rsidP="00DB13FF">
            <w:r w:rsidRPr="0089741D">
              <w:t>TIMEFRAME</w:t>
            </w:r>
          </w:p>
        </w:tc>
        <w:tc>
          <w:tcPr>
            <w:tcW w:w="3118" w:type="dxa"/>
            <w:shd w:val="clear" w:color="auto" w:fill="F2F2F2" w:themeFill="background1" w:themeFillShade="F2"/>
          </w:tcPr>
          <w:p w14:paraId="2E676478" w14:textId="77777777" w:rsidR="008C0A87" w:rsidRPr="0089741D" w:rsidRDefault="008C0A87" w:rsidP="00DB13FF">
            <w:r w:rsidRPr="0089741D">
              <w:t>PERSON(S) RESPONSIBLE</w:t>
            </w:r>
          </w:p>
        </w:tc>
        <w:tc>
          <w:tcPr>
            <w:tcW w:w="3402" w:type="dxa"/>
            <w:shd w:val="clear" w:color="auto" w:fill="F2F2F2" w:themeFill="background1" w:themeFillShade="F2"/>
          </w:tcPr>
          <w:p w14:paraId="4F86265C" w14:textId="77777777" w:rsidR="008C0A87" w:rsidRPr="0089741D" w:rsidRDefault="008C0A87" w:rsidP="00DB13FF">
            <w:r w:rsidRPr="0089741D">
              <w:t>OUTCOME</w:t>
            </w:r>
          </w:p>
        </w:tc>
      </w:tr>
      <w:tr w:rsidR="008C0A87" w:rsidRPr="0089741D" w14:paraId="7F0BB861" w14:textId="77777777" w:rsidTr="00DB13FF">
        <w:trPr>
          <w:trHeight w:val="706"/>
        </w:trPr>
        <w:tc>
          <w:tcPr>
            <w:tcW w:w="5382" w:type="dxa"/>
          </w:tcPr>
          <w:p w14:paraId="07D15581" w14:textId="48A21993" w:rsidR="008C0A87" w:rsidRDefault="008C0A87" w:rsidP="008C0A87">
            <w:pPr>
              <w:pStyle w:val="ListParagraph"/>
              <w:numPr>
                <w:ilvl w:val="0"/>
                <w:numId w:val="7"/>
              </w:numPr>
              <w:jc w:val="left"/>
            </w:pPr>
            <w:r>
              <w:t>Coordinated responses and referral pathways with other services are identified and tailored to address</w:t>
            </w:r>
          </w:p>
          <w:p w14:paraId="3E4C1282" w14:textId="0DBBE742" w:rsidR="008C0A87" w:rsidRPr="0089741D" w:rsidRDefault="008C0A87" w:rsidP="008C0A87">
            <w:pPr>
              <w:pStyle w:val="ListParagraph"/>
              <w:ind w:left="360"/>
              <w:jc w:val="left"/>
            </w:pPr>
            <w:r>
              <w:t xml:space="preserve"> victim-survivors’ safety and support needs.</w:t>
            </w:r>
          </w:p>
        </w:tc>
        <w:tc>
          <w:tcPr>
            <w:tcW w:w="1134" w:type="dxa"/>
          </w:tcPr>
          <w:p w14:paraId="076EEA75" w14:textId="77777777" w:rsidR="008C0A87" w:rsidRPr="0089741D" w:rsidRDefault="008C0A87" w:rsidP="00433440">
            <w:pPr>
              <w:pStyle w:val="ListParagraph"/>
              <w:ind w:left="0"/>
            </w:pPr>
          </w:p>
        </w:tc>
        <w:tc>
          <w:tcPr>
            <w:tcW w:w="3118" w:type="dxa"/>
          </w:tcPr>
          <w:p w14:paraId="45254D31" w14:textId="77777777" w:rsidR="008C0A87" w:rsidRPr="0089741D" w:rsidRDefault="008C0A87" w:rsidP="00433440">
            <w:pPr>
              <w:pStyle w:val="ListParagraph"/>
              <w:ind w:left="39"/>
            </w:pPr>
          </w:p>
        </w:tc>
        <w:tc>
          <w:tcPr>
            <w:tcW w:w="3261" w:type="dxa"/>
          </w:tcPr>
          <w:p w14:paraId="430F1D9A" w14:textId="77777777" w:rsidR="008C0A87" w:rsidRPr="0089741D" w:rsidRDefault="008C0A87" w:rsidP="00433440">
            <w:pPr>
              <w:pStyle w:val="ListParagraph"/>
              <w:ind w:left="0"/>
            </w:pPr>
          </w:p>
        </w:tc>
        <w:tc>
          <w:tcPr>
            <w:tcW w:w="2126" w:type="dxa"/>
          </w:tcPr>
          <w:p w14:paraId="35EF7DC1" w14:textId="77777777" w:rsidR="008C0A87" w:rsidRPr="0089741D" w:rsidRDefault="008C0A87" w:rsidP="00433440">
            <w:pPr>
              <w:pStyle w:val="ListParagraph"/>
              <w:ind w:left="33"/>
            </w:pPr>
          </w:p>
        </w:tc>
        <w:tc>
          <w:tcPr>
            <w:tcW w:w="3118" w:type="dxa"/>
          </w:tcPr>
          <w:p w14:paraId="3FB822AA" w14:textId="77777777" w:rsidR="008C0A87" w:rsidRPr="0089741D" w:rsidRDefault="008C0A87" w:rsidP="00433440">
            <w:pPr>
              <w:pStyle w:val="ListParagraph"/>
              <w:ind w:left="36"/>
            </w:pPr>
          </w:p>
        </w:tc>
        <w:tc>
          <w:tcPr>
            <w:tcW w:w="3402" w:type="dxa"/>
          </w:tcPr>
          <w:p w14:paraId="1616AD86" w14:textId="77777777" w:rsidR="008C0A87" w:rsidRPr="0089741D" w:rsidRDefault="008C0A87" w:rsidP="00433440">
            <w:pPr>
              <w:pStyle w:val="ListParagraph"/>
              <w:ind w:left="0"/>
            </w:pPr>
          </w:p>
        </w:tc>
      </w:tr>
      <w:tr w:rsidR="008C0A87" w:rsidRPr="0089741D" w14:paraId="4C2166D0" w14:textId="77777777" w:rsidTr="00DB13FF">
        <w:trPr>
          <w:trHeight w:val="706"/>
        </w:trPr>
        <w:tc>
          <w:tcPr>
            <w:tcW w:w="5382" w:type="dxa"/>
          </w:tcPr>
          <w:p w14:paraId="7FAD651C" w14:textId="6B30EBD7" w:rsidR="008C0A87" w:rsidRPr="008C0A87" w:rsidRDefault="008C0A87" w:rsidP="008C0A87">
            <w:pPr>
              <w:pStyle w:val="ListParagraph"/>
              <w:numPr>
                <w:ilvl w:val="0"/>
                <w:numId w:val="7"/>
              </w:numPr>
              <w:autoSpaceDE w:val="0"/>
              <w:autoSpaceDN w:val="0"/>
              <w:adjustRightInd w:val="0"/>
              <w:spacing w:line="240" w:lineRule="auto"/>
              <w:jc w:val="left"/>
            </w:pPr>
            <w:r w:rsidRPr="008C0A87">
              <w:t>The service takes a lead role to provide dedicated</w:t>
            </w:r>
            <w:r>
              <w:t xml:space="preserve"> </w:t>
            </w:r>
            <w:r w:rsidRPr="008C0A87">
              <w:t>support and case coordination for victim</w:t>
            </w:r>
            <w:r>
              <w:t>-</w:t>
            </w:r>
            <w:r w:rsidRPr="008C0A87">
              <w:t>survivors</w:t>
            </w:r>
            <w:r>
              <w:t xml:space="preserve"> </w:t>
            </w:r>
            <w:r w:rsidRPr="008C0A87">
              <w:t>when there is more than one service involved in a coordinated response (including in ‘all of family’ approaches).</w:t>
            </w:r>
          </w:p>
        </w:tc>
        <w:tc>
          <w:tcPr>
            <w:tcW w:w="1134" w:type="dxa"/>
          </w:tcPr>
          <w:p w14:paraId="3A0CD763" w14:textId="77777777" w:rsidR="008C0A87" w:rsidRPr="0089741D" w:rsidRDefault="008C0A87" w:rsidP="00433440">
            <w:pPr>
              <w:pStyle w:val="ListParagraph"/>
              <w:ind w:left="0"/>
            </w:pPr>
          </w:p>
        </w:tc>
        <w:tc>
          <w:tcPr>
            <w:tcW w:w="3118" w:type="dxa"/>
          </w:tcPr>
          <w:p w14:paraId="19AFC051" w14:textId="77777777" w:rsidR="008C0A87" w:rsidRPr="0089741D" w:rsidRDefault="008C0A87" w:rsidP="00433440">
            <w:pPr>
              <w:pStyle w:val="ListParagraph"/>
              <w:ind w:left="39"/>
            </w:pPr>
          </w:p>
        </w:tc>
        <w:tc>
          <w:tcPr>
            <w:tcW w:w="3261" w:type="dxa"/>
          </w:tcPr>
          <w:p w14:paraId="0671A49E" w14:textId="77777777" w:rsidR="008C0A87" w:rsidRPr="0089741D" w:rsidRDefault="008C0A87" w:rsidP="00433440">
            <w:pPr>
              <w:pStyle w:val="ListParagraph"/>
              <w:ind w:left="0"/>
            </w:pPr>
          </w:p>
        </w:tc>
        <w:tc>
          <w:tcPr>
            <w:tcW w:w="2126" w:type="dxa"/>
          </w:tcPr>
          <w:p w14:paraId="50C4F5EC" w14:textId="77777777" w:rsidR="008C0A87" w:rsidRPr="0089741D" w:rsidRDefault="008C0A87" w:rsidP="00433440">
            <w:pPr>
              <w:pStyle w:val="ListParagraph"/>
              <w:ind w:left="33"/>
            </w:pPr>
          </w:p>
        </w:tc>
        <w:tc>
          <w:tcPr>
            <w:tcW w:w="3118" w:type="dxa"/>
          </w:tcPr>
          <w:p w14:paraId="2F1B453D" w14:textId="77777777" w:rsidR="008C0A87" w:rsidRPr="0089741D" w:rsidRDefault="008C0A87" w:rsidP="00433440">
            <w:pPr>
              <w:pStyle w:val="ListParagraph"/>
              <w:ind w:left="36"/>
            </w:pPr>
          </w:p>
        </w:tc>
        <w:tc>
          <w:tcPr>
            <w:tcW w:w="3402" w:type="dxa"/>
          </w:tcPr>
          <w:p w14:paraId="443BFB38" w14:textId="77777777" w:rsidR="008C0A87" w:rsidRPr="0089741D" w:rsidRDefault="008C0A87" w:rsidP="00433440">
            <w:pPr>
              <w:pStyle w:val="ListParagraph"/>
              <w:ind w:left="0"/>
            </w:pPr>
          </w:p>
        </w:tc>
      </w:tr>
      <w:tr w:rsidR="008C0A87" w:rsidRPr="0089741D" w14:paraId="12AECA2C" w14:textId="77777777" w:rsidTr="00DB13FF">
        <w:trPr>
          <w:trHeight w:val="706"/>
        </w:trPr>
        <w:tc>
          <w:tcPr>
            <w:tcW w:w="5382" w:type="dxa"/>
          </w:tcPr>
          <w:p w14:paraId="387220BD" w14:textId="4DF6E132" w:rsidR="008C0A87" w:rsidRPr="0089741D" w:rsidRDefault="008C0A87" w:rsidP="008C0A87">
            <w:pPr>
              <w:pStyle w:val="ListParagraph"/>
              <w:numPr>
                <w:ilvl w:val="0"/>
                <w:numId w:val="7"/>
              </w:numPr>
              <w:jc w:val="left"/>
            </w:pPr>
            <w:r>
              <w:t>Coordinated action plans have clear roles and responsibilities for service providers and are documented and reviewed to ensure outcomes respond appropriately to victim-survivors’ safety and support needs.</w:t>
            </w:r>
          </w:p>
        </w:tc>
        <w:tc>
          <w:tcPr>
            <w:tcW w:w="1134" w:type="dxa"/>
          </w:tcPr>
          <w:p w14:paraId="0D5ED113" w14:textId="77777777" w:rsidR="008C0A87" w:rsidRPr="0089741D" w:rsidRDefault="008C0A87" w:rsidP="00433440">
            <w:pPr>
              <w:pStyle w:val="ListParagraph"/>
              <w:ind w:left="0"/>
            </w:pPr>
          </w:p>
        </w:tc>
        <w:tc>
          <w:tcPr>
            <w:tcW w:w="3118" w:type="dxa"/>
          </w:tcPr>
          <w:p w14:paraId="09877449" w14:textId="77777777" w:rsidR="008C0A87" w:rsidRPr="0089741D" w:rsidRDefault="008C0A87" w:rsidP="00433440">
            <w:pPr>
              <w:pStyle w:val="ListParagraph"/>
              <w:ind w:left="39"/>
            </w:pPr>
          </w:p>
        </w:tc>
        <w:tc>
          <w:tcPr>
            <w:tcW w:w="3261" w:type="dxa"/>
          </w:tcPr>
          <w:p w14:paraId="2C84D8B5" w14:textId="77777777" w:rsidR="008C0A87" w:rsidRPr="0089741D" w:rsidRDefault="008C0A87" w:rsidP="00433440">
            <w:pPr>
              <w:pStyle w:val="ListParagraph"/>
              <w:ind w:left="0"/>
            </w:pPr>
          </w:p>
        </w:tc>
        <w:tc>
          <w:tcPr>
            <w:tcW w:w="2126" w:type="dxa"/>
          </w:tcPr>
          <w:p w14:paraId="7F7A5677" w14:textId="77777777" w:rsidR="008C0A87" w:rsidRPr="0089741D" w:rsidRDefault="008C0A87" w:rsidP="00433440">
            <w:pPr>
              <w:pStyle w:val="ListParagraph"/>
              <w:ind w:left="33"/>
            </w:pPr>
          </w:p>
        </w:tc>
        <w:tc>
          <w:tcPr>
            <w:tcW w:w="3118" w:type="dxa"/>
          </w:tcPr>
          <w:p w14:paraId="135414B6" w14:textId="77777777" w:rsidR="008C0A87" w:rsidRPr="0089741D" w:rsidRDefault="008C0A87" w:rsidP="00433440">
            <w:pPr>
              <w:pStyle w:val="ListParagraph"/>
              <w:ind w:left="36"/>
            </w:pPr>
          </w:p>
        </w:tc>
        <w:tc>
          <w:tcPr>
            <w:tcW w:w="3402" w:type="dxa"/>
          </w:tcPr>
          <w:p w14:paraId="1BAB38CD" w14:textId="77777777" w:rsidR="008C0A87" w:rsidRPr="0089741D" w:rsidRDefault="008C0A87" w:rsidP="00433440">
            <w:pPr>
              <w:pStyle w:val="ListParagraph"/>
              <w:ind w:left="0"/>
            </w:pPr>
          </w:p>
        </w:tc>
      </w:tr>
      <w:tr w:rsidR="008C0A87" w:rsidRPr="0089741D" w14:paraId="15E28979" w14:textId="77777777" w:rsidTr="00DB13FF">
        <w:trPr>
          <w:trHeight w:val="706"/>
        </w:trPr>
        <w:tc>
          <w:tcPr>
            <w:tcW w:w="5382" w:type="dxa"/>
          </w:tcPr>
          <w:p w14:paraId="568EA837" w14:textId="77777777" w:rsidR="008C0A87" w:rsidRPr="0089741D" w:rsidRDefault="008C0A87" w:rsidP="008C0A87">
            <w:pPr>
              <w:pStyle w:val="ListParagraph"/>
              <w:numPr>
                <w:ilvl w:val="0"/>
                <w:numId w:val="7"/>
              </w:numPr>
              <w:jc w:val="left"/>
            </w:pPr>
            <w:r w:rsidRPr="0089741D">
              <w:t>Advocacy approaches are used when coordinated responses are not improving outcomes for victim-survivors or when other services and systems are not fulfilling their responsibilities.</w:t>
            </w:r>
          </w:p>
        </w:tc>
        <w:tc>
          <w:tcPr>
            <w:tcW w:w="1134" w:type="dxa"/>
          </w:tcPr>
          <w:p w14:paraId="39D82298" w14:textId="77777777" w:rsidR="008C0A87" w:rsidRPr="0089741D" w:rsidRDefault="008C0A87" w:rsidP="00433440">
            <w:pPr>
              <w:pStyle w:val="ListParagraph"/>
              <w:ind w:left="0"/>
            </w:pPr>
          </w:p>
        </w:tc>
        <w:tc>
          <w:tcPr>
            <w:tcW w:w="3118" w:type="dxa"/>
          </w:tcPr>
          <w:p w14:paraId="33B3E82D" w14:textId="77777777" w:rsidR="008C0A87" w:rsidRPr="0089741D" w:rsidRDefault="008C0A87" w:rsidP="00433440">
            <w:pPr>
              <w:pStyle w:val="ListParagraph"/>
              <w:ind w:left="39"/>
            </w:pPr>
          </w:p>
        </w:tc>
        <w:tc>
          <w:tcPr>
            <w:tcW w:w="3261" w:type="dxa"/>
          </w:tcPr>
          <w:p w14:paraId="17DEE0B7" w14:textId="77777777" w:rsidR="008C0A87" w:rsidRPr="0089741D" w:rsidRDefault="008C0A87" w:rsidP="00433440">
            <w:pPr>
              <w:pStyle w:val="ListParagraph"/>
              <w:ind w:left="0"/>
            </w:pPr>
          </w:p>
        </w:tc>
        <w:tc>
          <w:tcPr>
            <w:tcW w:w="2126" w:type="dxa"/>
          </w:tcPr>
          <w:p w14:paraId="5C5F8234" w14:textId="77777777" w:rsidR="008C0A87" w:rsidRPr="0089741D" w:rsidRDefault="008C0A87" w:rsidP="00433440">
            <w:pPr>
              <w:pStyle w:val="ListParagraph"/>
              <w:ind w:left="33"/>
            </w:pPr>
          </w:p>
        </w:tc>
        <w:tc>
          <w:tcPr>
            <w:tcW w:w="3118" w:type="dxa"/>
          </w:tcPr>
          <w:p w14:paraId="5712E7CB" w14:textId="77777777" w:rsidR="008C0A87" w:rsidRPr="0089741D" w:rsidRDefault="008C0A87" w:rsidP="00433440">
            <w:pPr>
              <w:pStyle w:val="ListParagraph"/>
              <w:ind w:left="36"/>
            </w:pPr>
          </w:p>
        </w:tc>
        <w:tc>
          <w:tcPr>
            <w:tcW w:w="3402" w:type="dxa"/>
          </w:tcPr>
          <w:p w14:paraId="0B534DF6" w14:textId="77777777" w:rsidR="008C0A87" w:rsidRPr="0089741D" w:rsidRDefault="008C0A87" w:rsidP="00433440">
            <w:pPr>
              <w:pStyle w:val="ListParagraph"/>
              <w:ind w:left="0"/>
            </w:pPr>
          </w:p>
        </w:tc>
      </w:tr>
    </w:tbl>
    <w:p w14:paraId="538CD557" w14:textId="77777777" w:rsidR="008C0A87" w:rsidRDefault="008C0A87" w:rsidP="008C0A87"/>
    <w:p w14:paraId="303E42E5" w14:textId="3FF2C8AC" w:rsidR="00275EA3" w:rsidRDefault="00275EA3" w:rsidP="00FD4A08"/>
    <w:p w14:paraId="60093417" w14:textId="5C204CBE" w:rsidR="008C0A87" w:rsidRDefault="008C0A87" w:rsidP="00FD4A08"/>
    <w:p w14:paraId="2C18AF3D" w14:textId="77777777" w:rsidR="008C0A87" w:rsidRDefault="008C0A87" w:rsidP="008C0A87">
      <w:pPr>
        <w:pStyle w:val="Heading2"/>
      </w:pPr>
      <w:r w:rsidRPr="0089741D">
        <w:lastRenderedPageBreak/>
        <w:t xml:space="preserve">Principle 5: Perpetrator Accountability </w:t>
      </w:r>
    </w:p>
    <w:p w14:paraId="5E2CEE90" w14:textId="3292DE47" w:rsidR="008C0A87" w:rsidRDefault="008C0A87" w:rsidP="008C0A87">
      <w:pPr>
        <w:pStyle w:val="Heading3"/>
      </w:pPr>
      <w:r>
        <w:t xml:space="preserve">Standard </w:t>
      </w:r>
      <w:r w:rsidRPr="0089741D">
        <w:t>5.1 The service takes a victim-centred approach to advocate for and monitor perpetrator accountability.</w:t>
      </w:r>
    </w:p>
    <w:p w14:paraId="65837E46" w14:textId="77777777" w:rsidR="008C0A87" w:rsidRPr="0089741D" w:rsidRDefault="008C0A87" w:rsidP="008C0A87">
      <w:r w:rsidRPr="0089741D">
        <w:t xml:space="preserve">HSS: (1) Empowerment; (3) Wellbeing; (4) Participation </w:t>
      </w:r>
    </w:p>
    <w:p w14:paraId="46A93C84" w14:textId="041E3790" w:rsidR="008C0A87" w:rsidRDefault="008C0A87" w:rsidP="008C0A87">
      <w:r w:rsidRPr="0089741D">
        <w:t>QGF</w:t>
      </w:r>
      <w:r>
        <w:t xml:space="preserve"> domains</w:t>
      </w:r>
      <w:r w:rsidRPr="0089741D">
        <w:t xml:space="preserve">: </w:t>
      </w:r>
      <w:r>
        <w:t>Client and family partnerships; Workforce</w:t>
      </w:r>
    </w:p>
    <w:p w14:paraId="16462F76" w14:textId="1D97726C" w:rsidR="008C0A87" w:rsidRDefault="008C0A87" w:rsidP="008C0A87"/>
    <w:tbl>
      <w:tblPr>
        <w:tblStyle w:val="TableGridLight"/>
        <w:tblW w:w="21541" w:type="dxa"/>
        <w:tblLook w:val="0020" w:firstRow="1" w:lastRow="0" w:firstColumn="0" w:lastColumn="0" w:noHBand="0" w:noVBand="0"/>
      </w:tblPr>
      <w:tblGrid>
        <w:gridCol w:w="5382"/>
        <w:gridCol w:w="1134"/>
        <w:gridCol w:w="3118"/>
        <w:gridCol w:w="3261"/>
        <w:gridCol w:w="2126"/>
        <w:gridCol w:w="3118"/>
        <w:gridCol w:w="3402"/>
      </w:tblGrid>
      <w:tr w:rsidR="008C0A87" w:rsidRPr="0089741D" w14:paraId="3D0D99FA" w14:textId="77777777" w:rsidTr="00DB13FF">
        <w:trPr>
          <w:trHeight w:val="233"/>
        </w:trPr>
        <w:tc>
          <w:tcPr>
            <w:tcW w:w="5382" w:type="dxa"/>
            <w:shd w:val="clear" w:color="auto" w:fill="F2F2F2" w:themeFill="background1" w:themeFillShade="F2"/>
          </w:tcPr>
          <w:p w14:paraId="5B4F853B" w14:textId="77777777" w:rsidR="008C0A87" w:rsidRPr="0089741D" w:rsidRDefault="008C0A87" w:rsidP="00DB13FF">
            <w:r w:rsidRPr="0089741D">
              <w:t>INDICATORS</w:t>
            </w:r>
          </w:p>
        </w:tc>
        <w:tc>
          <w:tcPr>
            <w:tcW w:w="1134" w:type="dxa"/>
            <w:shd w:val="clear" w:color="auto" w:fill="F2F2F2" w:themeFill="background1" w:themeFillShade="F2"/>
          </w:tcPr>
          <w:p w14:paraId="14B70E6A" w14:textId="77777777" w:rsidR="008C0A87" w:rsidRPr="0089741D" w:rsidRDefault="008C0A87" w:rsidP="00DB13FF">
            <w:r w:rsidRPr="0089741D">
              <w:t>RATING</w:t>
            </w:r>
          </w:p>
        </w:tc>
        <w:tc>
          <w:tcPr>
            <w:tcW w:w="3118" w:type="dxa"/>
            <w:shd w:val="clear" w:color="auto" w:fill="F2F2F2" w:themeFill="background1" w:themeFillShade="F2"/>
          </w:tcPr>
          <w:p w14:paraId="4DB0B426" w14:textId="77777777" w:rsidR="008C0A87" w:rsidRPr="0089741D" w:rsidRDefault="008C0A87" w:rsidP="00DB13FF">
            <w:r w:rsidRPr="0089741D">
              <w:t xml:space="preserve">EVIDENCE </w:t>
            </w:r>
          </w:p>
        </w:tc>
        <w:tc>
          <w:tcPr>
            <w:tcW w:w="3261" w:type="dxa"/>
            <w:shd w:val="clear" w:color="auto" w:fill="F2F2F2" w:themeFill="background1" w:themeFillShade="F2"/>
          </w:tcPr>
          <w:p w14:paraId="0EFC0620" w14:textId="77777777" w:rsidR="008C0A87" w:rsidRPr="0089741D" w:rsidRDefault="008C0A87" w:rsidP="00DB13FF">
            <w:r w:rsidRPr="0089741D">
              <w:t xml:space="preserve">IMPROVEMENT ACTIONS </w:t>
            </w:r>
          </w:p>
        </w:tc>
        <w:tc>
          <w:tcPr>
            <w:tcW w:w="2126" w:type="dxa"/>
            <w:shd w:val="clear" w:color="auto" w:fill="F2F2F2" w:themeFill="background1" w:themeFillShade="F2"/>
          </w:tcPr>
          <w:p w14:paraId="7583B7D0" w14:textId="77777777" w:rsidR="008C0A87" w:rsidRPr="0089741D" w:rsidRDefault="008C0A87" w:rsidP="00DB13FF">
            <w:r w:rsidRPr="0089741D">
              <w:t>TIMEFRAME</w:t>
            </w:r>
          </w:p>
        </w:tc>
        <w:tc>
          <w:tcPr>
            <w:tcW w:w="3118" w:type="dxa"/>
            <w:shd w:val="clear" w:color="auto" w:fill="F2F2F2" w:themeFill="background1" w:themeFillShade="F2"/>
          </w:tcPr>
          <w:p w14:paraId="592F9D9F" w14:textId="77777777" w:rsidR="008C0A87" w:rsidRPr="0089741D" w:rsidRDefault="008C0A87" w:rsidP="00DB13FF">
            <w:r w:rsidRPr="0089741D">
              <w:t>PERSON(S) RESPONSIBLE</w:t>
            </w:r>
          </w:p>
        </w:tc>
        <w:tc>
          <w:tcPr>
            <w:tcW w:w="3402" w:type="dxa"/>
            <w:shd w:val="clear" w:color="auto" w:fill="F2F2F2" w:themeFill="background1" w:themeFillShade="F2"/>
          </w:tcPr>
          <w:p w14:paraId="12BECEBB" w14:textId="77777777" w:rsidR="008C0A87" w:rsidRPr="0089741D" w:rsidRDefault="008C0A87" w:rsidP="00DB13FF">
            <w:r w:rsidRPr="0089741D">
              <w:t>OUTCOME</w:t>
            </w:r>
          </w:p>
        </w:tc>
      </w:tr>
      <w:tr w:rsidR="008C0A87" w:rsidRPr="0089741D" w14:paraId="423E1EF4" w14:textId="77777777" w:rsidTr="00DB13FF">
        <w:trPr>
          <w:trHeight w:val="990"/>
        </w:trPr>
        <w:tc>
          <w:tcPr>
            <w:tcW w:w="5382" w:type="dxa"/>
          </w:tcPr>
          <w:p w14:paraId="4DD8CE95" w14:textId="77777777" w:rsidR="008C0A87" w:rsidRPr="0089741D" w:rsidRDefault="008C0A87" w:rsidP="008C0A87">
            <w:pPr>
              <w:pStyle w:val="ListParagraph"/>
              <w:numPr>
                <w:ilvl w:val="0"/>
                <w:numId w:val="8"/>
              </w:numPr>
              <w:jc w:val="left"/>
            </w:pPr>
            <w:r w:rsidRPr="0089741D">
              <w:t>Practitioners are inducted, trained and supervised to discuss family violence with victim-survivors in a way that respects their relationship, and conveys perpetrator responsibility and accountability.</w:t>
            </w:r>
          </w:p>
        </w:tc>
        <w:tc>
          <w:tcPr>
            <w:tcW w:w="1134" w:type="dxa"/>
          </w:tcPr>
          <w:p w14:paraId="1179FDE7" w14:textId="77777777" w:rsidR="008C0A87" w:rsidRPr="0089741D" w:rsidRDefault="008C0A87" w:rsidP="00DB13FF"/>
        </w:tc>
        <w:tc>
          <w:tcPr>
            <w:tcW w:w="3118" w:type="dxa"/>
          </w:tcPr>
          <w:p w14:paraId="100E3D3F" w14:textId="77777777" w:rsidR="008C0A87" w:rsidRPr="0089741D" w:rsidRDefault="008C0A87" w:rsidP="00DB13FF"/>
        </w:tc>
        <w:tc>
          <w:tcPr>
            <w:tcW w:w="3261" w:type="dxa"/>
          </w:tcPr>
          <w:p w14:paraId="0D504174" w14:textId="77777777" w:rsidR="008C0A87" w:rsidRPr="0089741D" w:rsidRDefault="008C0A87" w:rsidP="00DB13FF"/>
        </w:tc>
        <w:tc>
          <w:tcPr>
            <w:tcW w:w="2126" w:type="dxa"/>
          </w:tcPr>
          <w:p w14:paraId="5AEBAF05" w14:textId="77777777" w:rsidR="008C0A87" w:rsidRPr="0089741D" w:rsidRDefault="008C0A87" w:rsidP="00DB13FF"/>
        </w:tc>
        <w:tc>
          <w:tcPr>
            <w:tcW w:w="3118" w:type="dxa"/>
          </w:tcPr>
          <w:p w14:paraId="1EA62F48" w14:textId="77777777" w:rsidR="008C0A87" w:rsidRPr="0089741D" w:rsidRDefault="008C0A87" w:rsidP="00DB13FF"/>
        </w:tc>
        <w:tc>
          <w:tcPr>
            <w:tcW w:w="3402" w:type="dxa"/>
          </w:tcPr>
          <w:p w14:paraId="6870962D" w14:textId="77777777" w:rsidR="008C0A87" w:rsidRPr="0089741D" w:rsidRDefault="008C0A87" w:rsidP="00DB13FF"/>
        </w:tc>
      </w:tr>
      <w:tr w:rsidR="008C0A87" w:rsidRPr="0089741D" w14:paraId="22F43EF6" w14:textId="77777777" w:rsidTr="00DB13FF">
        <w:trPr>
          <w:trHeight w:val="990"/>
        </w:trPr>
        <w:tc>
          <w:tcPr>
            <w:tcW w:w="5382" w:type="dxa"/>
          </w:tcPr>
          <w:p w14:paraId="643651FA" w14:textId="77777777" w:rsidR="008C0A87" w:rsidRPr="0089741D" w:rsidRDefault="008C0A87" w:rsidP="008C0A87">
            <w:pPr>
              <w:pStyle w:val="ListParagraph"/>
              <w:numPr>
                <w:ilvl w:val="0"/>
                <w:numId w:val="8"/>
              </w:numPr>
              <w:jc w:val="left"/>
            </w:pPr>
            <w:r w:rsidRPr="0089741D">
              <w:t>Information about perpetrators, including the risks and impacts of their use of family violence, is documented in client records and shared with victim-survivors and other services according to information sharing legislation.</w:t>
            </w:r>
          </w:p>
        </w:tc>
        <w:tc>
          <w:tcPr>
            <w:tcW w:w="1134" w:type="dxa"/>
          </w:tcPr>
          <w:p w14:paraId="12F3CDC6" w14:textId="77777777" w:rsidR="008C0A87" w:rsidRPr="0089741D" w:rsidRDefault="008C0A87" w:rsidP="00DB13FF"/>
        </w:tc>
        <w:tc>
          <w:tcPr>
            <w:tcW w:w="3118" w:type="dxa"/>
          </w:tcPr>
          <w:p w14:paraId="2E29D243" w14:textId="77777777" w:rsidR="008C0A87" w:rsidRPr="0089741D" w:rsidRDefault="008C0A87" w:rsidP="00DB13FF"/>
        </w:tc>
        <w:tc>
          <w:tcPr>
            <w:tcW w:w="3261" w:type="dxa"/>
          </w:tcPr>
          <w:p w14:paraId="15742A10" w14:textId="77777777" w:rsidR="008C0A87" w:rsidRPr="0089741D" w:rsidRDefault="008C0A87" w:rsidP="00DB13FF"/>
        </w:tc>
        <w:tc>
          <w:tcPr>
            <w:tcW w:w="2126" w:type="dxa"/>
          </w:tcPr>
          <w:p w14:paraId="247E537F" w14:textId="77777777" w:rsidR="008C0A87" w:rsidRPr="0089741D" w:rsidRDefault="008C0A87" w:rsidP="00DB13FF"/>
        </w:tc>
        <w:tc>
          <w:tcPr>
            <w:tcW w:w="3118" w:type="dxa"/>
          </w:tcPr>
          <w:p w14:paraId="1D560502" w14:textId="77777777" w:rsidR="008C0A87" w:rsidRPr="0089741D" w:rsidRDefault="008C0A87" w:rsidP="00DB13FF"/>
        </w:tc>
        <w:tc>
          <w:tcPr>
            <w:tcW w:w="3402" w:type="dxa"/>
          </w:tcPr>
          <w:p w14:paraId="080AD75A" w14:textId="77777777" w:rsidR="008C0A87" w:rsidRPr="0089741D" w:rsidRDefault="008C0A87" w:rsidP="00DB13FF"/>
        </w:tc>
      </w:tr>
      <w:tr w:rsidR="008C0A87" w:rsidRPr="0089741D" w14:paraId="7C40DA0C" w14:textId="77777777" w:rsidTr="00DB13FF">
        <w:trPr>
          <w:trHeight w:val="990"/>
        </w:trPr>
        <w:tc>
          <w:tcPr>
            <w:tcW w:w="5382" w:type="dxa"/>
          </w:tcPr>
          <w:p w14:paraId="0F201DBD" w14:textId="0E895D74" w:rsidR="008C0A87" w:rsidRPr="0089741D" w:rsidRDefault="008C0A87" w:rsidP="002F309E">
            <w:pPr>
              <w:pStyle w:val="ListParagraph"/>
              <w:numPr>
                <w:ilvl w:val="0"/>
                <w:numId w:val="8"/>
              </w:numPr>
              <w:jc w:val="left"/>
            </w:pPr>
            <w:r>
              <w:t>Processes are in place to proactively</w:t>
            </w:r>
            <w:r w:rsidR="002F309E">
              <w:t xml:space="preserve"> </w:t>
            </w:r>
            <w:r>
              <w:t>involve victim-survivors in decision</w:t>
            </w:r>
            <w:r w:rsidR="002F309E">
              <w:t>-</w:t>
            </w:r>
            <w:r>
              <w:t>making</w:t>
            </w:r>
            <w:r w:rsidR="002F309E">
              <w:t xml:space="preserve"> </w:t>
            </w:r>
            <w:r>
              <w:t>and safety planning for</w:t>
            </w:r>
            <w:r w:rsidR="002F309E">
              <w:t xml:space="preserve"> </w:t>
            </w:r>
            <w:r>
              <w:t>coordinated responses that activate</w:t>
            </w:r>
            <w:r w:rsidR="002F309E">
              <w:t xml:space="preserve"> </w:t>
            </w:r>
            <w:r>
              <w:t>direct interventions with perpetrators.</w:t>
            </w:r>
          </w:p>
        </w:tc>
        <w:tc>
          <w:tcPr>
            <w:tcW w:w="1134" w:type="dxa"/>
          </w:tcPr>
          <w:p w14:paraId="5E21A23E" w14:textId="77777777" w:rsidR="008C0A87" w:rsidRPr="0089741D" w:rsidRDefault="008C0A87" w:rsidP="00DB13FF"/>
        </w:tc>
        <w:tc>
          <w:tcPr>
            <w:tcW w:w="3118" w:type="dxa"/>
          </w:tcPr>
          <w:p w14:paraId="4B5A0269" w14:textId="77777777" w:rsidR="008C0A87" w:rsidRPr="0089741D" w:rsidRDefault="008C0A87" w:rsidP="00DB13FF"/>
        </w:tc>
        <w:tc>
          <w:tcPr>
            <w:tcW w:w="3261" w:type="dxa"/>
          </w:tcPr>
          <w:p w14:paraId="571B4079" w14:textId="77777777" w:rsidR="008C0A87" w:rsidRPr="0089741D" w:rsidRDefault="008C0A87" w:rsidP="00DB13FF"/>
        </w:tc>
        <w:tc>
          <w:tcPr>
            <w:tcW w:w="2126" w:type="dxa"/>
          </w:tcPr>
          <w:p w14:paraId="4B8542FD" w14:textId="77777777" w:rsidR="008C0A87" w:rsidRPr="0089741D" w:rsidRDefault="008C0A87" w:rsidP="00DB13FF"/>
        </w:tc>
        <w:tc>
          <w:tcPr>
            <w:tcW w:w="3118" w:type="dxa"/>
          </w:tcPr>
          <w:p w14:paraId="5267C65D" w14:textId="77777777" w:rsidR="008C0A87" w:rsidRPr="0089741D" w:rsidRDefault="008C0A87" w:rsidP="00DB13FF"/>
        </w:tc>
        <w:tc>
          <w:tcPr>
            <w:tcW w:w="3402" w:type="dxa"/>
          </w:tcPr>
          <w:p w14:paraId="7231D18C" w14:textId="77777777" w:rsidR="008C0A87" w:rsidRPr="0089741D" w:rsidRDefault="008C0A87" w:rsidP="00DB13FF"/>
        </w:tc>
      </w:tr>
      <w:tr w:rsidR="008C0A87" w:rsidRPr="0089741D" w14:paraId="2375FA65" w14:textId="77777777" w:rsidTr="00DB13FF">
        <w:trPr>
          <w:trHeight w:val="701"/>
        </w:trPr>
        <w:tc>
          <w:tcPr>
            <w:tcW w:w="5382" w:type="dxa"/>
          </w:tcPr>
          <w:p w14:paraId="5EF9F7AB" w14:textId="77777777" w:rsidR="008C0A87" w:rsidRPr="0089741D" w:rsidRDefault="008C0A87" w:rsidP="008C0A87">
            <w:pPr>
              <w:pStyle w:val="ListParagraph"/>
              <w:numPr>
                <w:ilvl w:val="0"/>
                <w:numId w:val="8"/>
              </w:numPr>
              <w:jc w:val="left"/>
            </w:pPr>
            <w:r w:rsidRPr="0089741D">
              <w:t>Where the perpetrator is engaged with a behaviour change program, victim-survivors are involved in decision-making about how the Family Safety Contact worker and other specialist practitioners should coordinate their responses and communications.</w:t>
            </w:r>
          </w:p>
        </w:tc>
        <w:tc>
          <w:tcPr>
            <w:tcW w:w="1134" w:type="dxa"/>
          </w:tcPr>
          <w:p w14:paraId="369F37F5" w14:textId="77777777" w:rsidR="008C0A87" w:rsidRPr="0089741D" w:rsidRDefault="008C0A87" w:rsidP="00DB13FF"/>
        </w:tc>
        <w:tc>
          <w:tcPr>
            <w:tcW w:w="3118" w:type="dxa"/>
          </w:tcPr>
          <w:p w14:paraId="15328DDE" w14:textId="77777777" w:rsidR="008C0A87" w:rsidRPr="0089741D" w:rsidRDefault="008C0A87" w:rsidP="00DB13FF"/>
        </w:tc>
        <w:tc>
          <w:tcPr>
            <w:tcW w:w="3261" w:type="dxa"/>
          </w:tcPr>
          <w:p w14:paraId="4F794BA6" w14:textId="77777777" w:rsidR="008C0A87" w:rsidRPr="0089741D" w:rsidRDefault="008C0A87" w:rsidP="00DB13FF"/>
        </w:tc>
        <w:tc>
          <w:tcPr>
            <w:tcW w:w="2126" w:type="dxa"/>
          </w:tcPr>
          <w:p w14:paraId="7B57FC83" w14:textId="77777777" w:rsidR="008C0A87" w:rsidRPr="0089741D" w:rsidRDefault="008C0A87" w:rsidP="00DB13FF"/>
        </w:tc>
        <w:tc>
          <w:tcPr>
            <w:tcW w:w="3118" w:type="dxa"/>
          </w:tcPr>
          <w:p w14:paraId="797F2C4A" w14:textId="77777777" w:rsidR="008C0A87" w:rsidRPr="0089741D" w:rsidRDefault="008C0A87" w:rsidP="00DB13FF"/>
        </w:tc>
        <w:tc>
          <w:tcPr>
            <w:tcW w:w="3402" w:type="dxa"/>
          </w:tcPr>
          <w:p w14:paraId="1ED31915" w14:textId="77777777" w:rsidR="008C0A87" w:rsidRPr="0089741D" w:rsidRDefault="008C0A87" w:rsidP="00DB13FF"/>
        </w:tc>
      </w:tr>
      <w:tr w:rsidR="008C0A87" w:rsidRPr="0089741D" w14:paraId="3B30C133" w14:textId="77777777" w:rsidTr="00DB13FF">
        <w:trPr>
          <w:trHeight w:val="990"/>
        </w:trPr>
        <w:tc>
          <w:tcPr>
            <w:tcW w:w="5382" w:type="dxa"/>
          </w:tcPr>
          <w:p w14:paraId="0013BE46" w14:textId="77777777" w:rsidR="008C0A87" w:rsidRPr="0089741D" w:rsidRDefault="008C0A87" w:rsidP="008C0A87">
            <w:pPr>
              <w:pStyle w:val="ListParagraph"/>
              <w:numPr>
                <w:ilvl w:val="0"/>
                <w:numId w:val="8"/>
              </w:numPr>
              <w:jc w:val="left"/>
            </w:pPr>
            <w:r w:rsidRPr="0089741D">
              <w:t xml:space="preserve">Systemic failures to adequately address perpetrator responsibility and accountability are documented and analysed to inform advocacy approaches to improve the family violence response system. </w:t>
            </w:r>
          </w:p>
        </w:tc>
        <w:tc>
          <w:tcPr>
            <w:tcW w:w="1134" w:type="dxa"/>
          </w:tcPr>
          <w:p w14:paraId="10774525" w14:textId="77777777" w:rsidR="008C0A87" w:rsidRPr="0089741D" w:rsidRDefault="008C0A87" w:rsidP="00DB13FF"/>
        </w:tc>
        <w:tc>
          <w:tcPr>
            <w:tcW w:w="3118" w:type="dxa"/>
          </w:tcPr>
          <w:p w14:paraId="4AA45B62" w14:textId="77777777" w:rsidR="008C0A87" w:rsidRPr="0089741D" w:rsidRDefault="008C0A87" w:rsidP="00DB13FF"/>
        </w:tc>
        <w:tc>
          <w:tcPr>
            <w:tcW w:w="3261" w:type="dxa"/>
          </w:tcPr>
          <w:p w14:paraId="1E5295EA" w14:textId="77777777" w:rsidR="008C0A87" w:rsidRPr="0089741D" w:rsidRDefault="008C0A87" w:rsidP="00DB13FF"/>
        </w:tc>
        <w:tc>
          <w:tcPr>
            <w:tcW w:w="2126" w:type="dxa"/>
          </w:tcPr>
          <w:p w14:paraId="614DF511" w14:textId="77777777" w:rsidR="008C0A87" w:rsidRPr="0089741D" w:rsidRDefault="008C0A87" w:rsidP="00DB13FF"/>
        </w:tc>
        <w:tc>
          <w:tcPr>
            <w:tcW w:w="3118" w:type="dxa"/>
          </w:tcPr>
          <w:p w14:paraId="06BF7CD3" w14:textId="77777777" w:rsidR="008C0A87" w:rsidRPr="0089741D" w:rsidRDefault="008C0A87" w:rsidP="00DB13FF"/>
        </w:tc>
        <w:tc>
          <w:tcPr>
            <w:tcW w:w="3402" w:type="dxa"/>
          </w:tcPr>
          <w:p w14:paraId="7B24507D" w14:textId="77777777" w:rsidR="008C0A87" w:rsidRPr="0089741D" w:rsidRDefault="008C0A87" w:rsidP="00DB13FF"/>
        </w:tc>
      </w:tr>
    </w:tbl>
    <w:p w14:paraId="560D67AF" w14:textId="77777777" w:rsidR="008C0A87" w:rsidRDefault="008C0A87" w:rsidP="008C0A87"/>
    <w:p w14:paraId="4564D6C0" w14:textId="77777777" w:rsidR="00092171" w:rsidRDefault="00092171" w:rsidP="00092171">
      <w:pPr>
        <w:pStyle w:val="Heading2"/>
      </w:pPr>
      <w:r w:rsidRPr="0089741D">
        <w:t>Principle 6: Child-Centred Practice</w:t>
      </w:r>
    </w:p>
    <w:p w14:paraId="7EBDBE84" w14:textId="0A2A7905" w:rsidR="008C0A87" w:rsidRDefault="00092171" w:rsidP="00092171">
      <w:pPr>
        <w:pStyle w:val="Heading3"/>
      </w:pPr>
      <w:r>
        <w:t xml:space="preserve">Standard </w:t>
      </w:r>
      <w:r w:rsidRPr="0089741D">
        <w:t>6.1 The service implements its legislative responsibilities to promote the safety and wellbeing of infants, children and young people.</w:t>
      </w:r>
    </w:p>
    <w:p w14:paraId="7220C6EF" w14:textId="77777777" w:rsidR="00092171" w:rsidRPr="0089741D" w:rsidRDefault="00092171" w:rsidP="00092171">
      <w:r w:rsidRPr="0089741D">
        <w:t xml:space="preserve">HSS: (1) Empowerment; (3) Wellbeing; (5) Governance and management </w:t>
      </w:r>
    </w:p>
    <w:p w14:paraId="7C8414D9" w14:textId="440AE2BA" w:rsidR="00092171" w:rsidRDefault="00092171" w:rsidP="00092171">
      <w:r w:rsidRPr="0089741D">
        <w:t>QGF</w:t>
      </w:r>
      <w:r>
        <w:t xml:space="preserve"> domains</w:t>
      </w:r>
      <w:r w:rsidRPr="0089741D">
        <w:t xml:space="preserve">: </w:t>
      </w:r>
      <w:r>
        <w:t>Workforce; Risk management</w:t>
      </w:r>
    </w:p>
    <w:p w14:paraId="70A8E53D" w14:textId="1A6F560A" w:rsidR="00092171" w:rsidRDefault="00092171" w:rsidP="00092171"/>
    <w:tbl>
      <w:tblPr>
        <w:tblStyle w:val="TableGridLight"/>
        <w:tblW w:w="21541" w:type="dxa"/>
        <w:tblLook w:val="0020" w:firstRow="1" w:lastRow="0" w:firstColumn="0" w:lastColumn="0" w:noHBand="0" w:noVBand="0"/>
      </w:tblPr>
      <w:tblGrid>
        <w:gridCol w:w="5382"/>
        <w:gridCol w:w="1134"/>
        <w:gridCol w:w="3118"/>
        <w:gridCol w:w="3261"/>
        <w:gridCol w:w="2126"/>
        <w:gridCol w:w="3118"/>
        <w:gridCol w:w="3402"/>
      </w:tblGrid>
      <w:tr w:rsidR="00092171" w:rsidRPr="00092171" w14:paraId="59A64B3C" w14:textId="77777777" w:rsidTr="00DB13FF">
        <w:trPr>
          <w:trHeight w:val="332"/>
        </w:trPr>
        <w:tc>
          <w:tcPr>
            <w:tcW w:w="5382" w:type="dxa"/>
            <w:shd w:val="clear" w:color="auto" w:fill="F2F2F2" w:themeFill="background1" w:themeFillShade="F2"/>
          </w:tcPr>
          <w:p w14:paraId="2B20F4E9" w14:textId="77777777" w:rsidR="00092171" w:rsidRPr="00092171" w:rsidRDefault="00092171" w:rsidP="00DB13FF">
            <w:r w:rsidRPr="00092171">
              <w:t>INDICATORS</w:t>
            </w:r>
          </w:p>
        </w:tc>
        <w:tc>
          <w:tcPr>
            <w:tcW w:w="1134" w:type="dxa"/>
            <w:shd w:val="clear" w:color="auto" w:fill="F2F2F2" w:themeFill="background1" w:themeFillShade="F2"/>
          </w:tcPr>
          <w:p w14:paraId="2A60603E" w14:textId="77777777" w:rsidR="00092171" w:rsidRPr="00092171" w:rsidRDefault="00092171" w:rsidP="00DB13FF">
            <w:r w:rsidRPr="00092171">
              <w:t>RATING</w:t>
            </w:r>
          </w:p>
        </w:tc>
        <w:tc>
          <w:tcPr>
            <w:tcW w:w="3118" w:type="dxa"/>
            <w:shd w:val="clear" w:color="auto" w:fill="F2F2F2" w:themeFill="background1" w:themeFillShade="F2"/>
          </w:tcPr>
          <w:p w14:paraId="4E58FCF2" w14:textId="77777777" w:rsidR="00092171" w:rsidRPr="00092171" w:rsidRDefault="00092171" w:rsidP="00DB13FF">
            <w:r w:rsidRPr="00092171">
              <w:t>EVIDENCE</w:t>
            </w:r>
          </w:p>
        </w:tc>
        <w:tc>
          <w:tcPr>
            <w:tcW w:w="3261" w:type="dxa"/>
            <w:shd w:val="clear" w:color="auto" w:fill="F2F2F2" w:themeFill="background1" w:themeFillShade="F2"/>
          </w:tcPr>
          <w:p w14:paraId="46ECA243" w14:textId="77777777" w:rsidR="00092171" w:rsidRPr="00092171" w:rsidRDefault="00092171" w:rsidP="00DB13FF">
            <w:r w:rsidRPr="00092171">
              <w:t xml:space="preserve">IMPROVEMENT ACTIONS </w:t>
            </w:r>
          </w:p>
        </w:tc>
        <w:tc>
          <w:tcPr>
            <w:tcW w:w="2126" w:type="dxa"/>
            <w:shd w:val="clear" w:color="auto" w:fill="F2F2F2" w:themeFill="background1" w:themeFillShade="F2"/>
          </w:tcPr>
          <w:p w14:paraId="7F19AFB7" w14:textId="77777777" w:rsidR="00092171" w:rsidRPr="00092171" w:rsidRDefault="00092171" w:rsidP="00DB13FF">
            <w:r w:rsidRPr="00092171">
              <w:t>TIMEFRAME</w:t>
            </w:r>
          </w:p>
        </w:tc>
        <w:tc>
          <w:tcPr>
            <w:tcW w:w="3118" w:type="dxa"/>
            <w:shd w:val="clear" w:color="auto" w:fill="F2F2F2" w:themeFill="background1" w:themeFillShade="F2"/>
          </w:tcPr>
          <w:p w14:paraId="1776F558" w14:textId="77777777" w:rsidR="00092171" w:rsidRPr="00092171" w:rsidRDefault="00092171" w:rsidP="00DB13FF">
            <w:r w:rsidRPr="00092171">
              <w:t>PERSON(S) RESPONSIBLE</w:t>
            </w:r>
          </w:p>
        </w:tc>
        <w:tc>
          <w:tcPr>
            <w:tcW w:w="3402" w:type="dxa"/>
            <w:shd w:val="clear" w:color="auto" w:fill="F2F2F2" w:themeFill="background1" w:themeFillShade="F2"/>
          </w:tcPr>
          <w:p w14:paraId="49AF002B" w14:textId="77777777" w:rsidR="00092171" w:rsidRPr="00092171" w:rsidRDefault="00092171" w:rsidP="00DB13FF">
            <w:r w:rsidRPr="00092171">
              <w:t>OUTCOME</w:t>
            </w:r>
          </w:p>
        </w:tc>
      </w:tr>
      <w:tr w:rsidR="00092171" w:rsidRPr="00092171" w14:paraId="5C3B183E" w14:textId="77777777" w:rsidTr="00DB13FF">
        <w:trPr>
          <w:trHeight w:val="70"/>
        </w:trPr>
        <w:tc>
          <w:tcPr>
            <w:tcW w:w="5382" w:type="dxa"/>
          </w:tcPr>
          <w:p w14:paraId="5BA11FED" w14:textId="77777777" w:rsidR="00092171" w:rsidRPr="00092171" w:rsidRDefault="00092171" w:rsidP="00DB13FF">
            <w:pPr>
              <w:pStyle w:val="ListParagraph"/>
              <w:numPr>
                <w:ilvl w:val="0"/>
                <w:numId w:val="9"/>
              </w:numPr>
              <w:jc w:val="left"/>
            </w:pPr>
            <w:r w:rsidRPr="00092171">
              <w:t>Family violence risk assessment and risk management processes involving infants, children and young people are undertaken according to the MARAM Framework practice guidance.</w:t>
            </w:r>
          </w:p>
        </w:tc>
        <w:tc>
          <w:tcPr>
            <w:tcW w:w="1134" w:type="dxa"/>
          </w:tcPr>
          <w:p w14:paraId="4F52ACDA" w14:textId="77777777" w:rsidR="00092171" w:rsidRPr="00092171" w:rsidRDefault="00092171" w:rsidP="00DB13FF"/>
        </w:tc>
        <w:tc>
          <w:tcPr>
            <w:tcW w:w="3118" w:type="dxa"/>
          </w:tcPr>
          <w:p w14:paraId="31BDF44C" w14:textId="77777777" w:rsidR="00092171" w:rsidRPr="00092171" w:rsidRDefault="00092171" w:rsidP="00433440">
            <w:pPr>
              <w:pStyle w:val="ListParagraph"/>
              <w:ind w:left="0"/>
            </w:pPr>
          </w:p>
        </w:tc>
        <w:tc>
          <w:tcPr>
            <w:tcW w:w="3261" w:type="dxa"/>
          </w:tcPr>
          <w:p w14:paraId="5F51DDED" w14:textId="77777777" w:rsidR="00092171" w:rsidRPr="00092171" w:rsidRDefault="00092171" w:rsidP="00DB13FF"/>
        </w:tc>
        <w:tc>
          <w:tcPr>
            <w:tcW w:w="2126" w:type="dxa"/>
          </w:tcPr>
          <w:p w14:paraId="62BBB087" w14:textId="77777777" w:rsidR="00092171" w:rsidRPr="00092171" w:rsidRDefault="00092171" w:rsidP="00DB13FF"/>
        </w:tc>
        <w:tc>
          <w:tcPr>
            <w:tcW w:w="3118" w:type="dxa"/>
          </w:tcPr>
          <w:p w14:paraId="5570064E" w14:textId="77777777" w:rsidR="00092171" w:rsidRPr="00092171" w:rsidRDefault="00092171" w:rsidP="00DB13FF"/>
        </w:tc>
        <w:tc>
          <w:tcPr>
            <w:tcW w:w="3402" w:type="dxa"/>
          </w:tcPr>
          <w:p w14:paraId="45AEC151" w14:textId="77777777" w:rsidR="00092171" w:rsidRPr="00092171" w:rsidRDefault="00092171" w:rsidP="00DB13FF"/>
        </w:tc>
      </w:tr>
      <w:tr w:rsidR="00092171" w:rsidRPr="00092171" w14:paraId="19376CA7" w14:textId="77777777" w:rsidTr="00DB13FF">
        <w:trPr>
          <w:trHeight w:val="70"/>
        </w:trPr>
        <w:tc>
          <w:tcPr>
            <w:tcW w:w="5382" w:type="dxa"/>
          </w:tcPr>
          <w:p w14:paraId="621DD7DD" w14:textId="77777777" w:rsidR="00092171" w:rsidRPr="00092171" w:rsidRDefault="00092171" w:rsidP="00DB13FF">
            <w:pPr>
              <w:pStyle w:val="ListParagraph"/>
              <w:numPr>
                <w:ilvl w:val="0"/>
                <w:numId w:val="9"/>
              </w:numPr>
              <w:jc w:val="left"/>
            </w:pPr>
            <w:r w:rsidRPr="00092171">
              <w:t xml:space="preserve">The Child Safe Standards and the Reportable Conduct Scheme are integrated throughout organisational systems and service responses. </w:t>
            </w:r>
          </w:p>
        </w:tc>
        <w:tc>
          <w:tcPr>
            <w:tcW w:w="1134" w:type="dxa"/>
          </w:tcPr>
          <w:p w14:paraId="2DEF3538" w14:textId="77777777" w:rsidR="00092171" w:rsidRPr="00092171" w:rsidRDefault="00092171" w:rsidP="00DB13FF"/>
        </w:tc>
        <w:tc>
          <w:tcPr>
            <w:tcW w:w="3118" w:type="dxa"/>
          </w:tcPr>
          <w:p w14:paraId="4CD96974" w14:textId="77777777" w:rsidR="00092171" w:rsidRPr="00092171" w:rsidRDefault="00092171" w:rsidP="00433440">
            <w:pPr>
              <w:pStyle w:val="ListParagraph"/>
              <w:ind w:left="0"/>
            </w:pPr>
          </w:p>
        </w:tc>
        <w:tc>
          <w:tcPr>
            <w:tcW w:w="3261" w:type="dxa"/>
          </w:tcPr>
          <w:p w14:paraId="4BAF6540" w14:textId="77777777" w:rsidR="00092171" w:rsidRPr="00092171" w:rsidRDefault="00092171" w:rsidP="00DB13FF"/>
        </w:tc>
        <w:tc>
          <w:tcPr>
            <w:tcW w:w="2126" w:type="dxa"/>
          </w:tcPr>
          <w:p w14:paraId="22CC277C" w14:textId="77777777" w:rsidR="00092171" w:rsidRPr="00092171" w:rsidRDefault="00092171" w:rsidP="00DB13FF"/>
        </w:tc>
        <w:tc>
          <w:tcPr>
            <w:tcW w:w="3118" w:type="dxa"/>
          </w:tcPr>
          <w:p w14:paraId="0D1394B8" w14:textId="77777777" w:rsidR="00092171" w:rsidRPr="00092171" w:rsidRDefault="00092171" w:rsidP="00DB13FF"/>
        </w:tc>
        <w:tc>
          <w:tcPr>
            <w:tcW w:w="3402" w:type="dxa"/>
          </w:tcPr>
          <w:p w14:paraId="433D140F" w14:textId="77777777" w:rsidR="00092171" w:rsidRPr="00092171" w:rsidRDefault="00092171" w:rsidP="00DB13FF"/>
        </w:tc>
      </w:tr>
      <w:tr w:rsidR="00092171" w:rsidRPr="00092171" w14:paraId="787D6A54" w14:textId="77777777" w:rsidTr="00DB13FF">
        <w:trPr>
          <w:trHeight w:val="599"/>
        </w:trPr>
        <w:tc>
          <w:tcPr>
            <w:tcW w:w="5382" w:type="dxa"/>
          </w:tcPr>
          <w:p w14:paraId="7E4FF70A" w14:textId="77777777" w:rsidR="00092171" w:rsidRPr="00092171" w:rsidRDefault="00092171" w:rsidP="00DB13FF">
            <w:pPr>
              <w:pStyle w:val="ListParagraph"/>
              <w:numPr>
                <w:ilvl w:val="0"/>
                <w:numId w:val="9"/>
              </w:numPr>
              <w:jc w:val="left"/>
            </w:pPr>
            <w:r w:rsidRPr="00092171">
              <w:t>Collecting, storing and sharing information about infants, children and young people is aligned with the Family Violence Information Sharing Scheme and the Child Information Sharing Scheme.</w:t>
            </w:r>
          </w:p>
        </w:tc>
        <w:tc>
          <w:tcPr>
            <w:tcW w:w="1134" w:type="dxa"/>
          </w:tcPr>
          <w:p w14:paraId="5CC5398F" w14:textId="77777777" w:rsidR="00092171" w:rsidRPr="00092171" w:rsidRDefault="00092171" w:rsidP="00DB13FF"/>
        </w:tc>
        <w:tc>
          <w:tcPr>
            <w:tcW w:w="3118" w:type="dxa"/>
          </w:tcPr>
          <w:p w14:paraId="153E17C4" w14:textId="77777777" w:rsidR="00092171" w:rsidRPr="00092171" w:rsidRDefault="00092171" w:rsidP="00433440">
            <w:pPr>
              <w:pStyle w:val="ListParagraph"/>
              <w:ind w:left="0"/>
            </w:pPr>
          </w:p>
        </w:tc>
        <w:tc>
          <w:tcPr>
            <w:tcW w:w="3261" w:type="dxa"/>
          </w:tcPr>
          <w:p w14:paraId="0A227480" w14:textId="77777777" w:rsidR="00092171" w:rsidRPr="00092171" w:rsidRDefault="00092171" w:rsidP="00DB13FF"/>
        </w:tc>
        <w:tc>
          <w:tcPr>
            <w:tcW w:w="2126" w:type="dxa"/>
          </w:tcPr>
          <w:p w14:paraId="66DC121D" w14:textId="77777777" w:rsidR="00092171" w:rsidRPr="00092171" w:rsidRDefault="00092171" w:rsidP="00DB13FF"/>
        </w:tc>
        <w:tc>
          <w:tcPr>
            <w:tcW w:w="3118" w:type="dxa"/>
          </w:tcPr>
          <w:p w14:paraId="23AFC48B" w14:textId="77777777" w:rsidR="00092171" w:rsidRPr="00092171" w:rsidRDefault="00092171" w:rsidP="00DB13FF"/>
        </w:tc>
        <w:tc>
          <w:tcPr>
            <w:tcW w:w="3402" w:type="dxa"/>
          </w:tcPr>
          <w:p w14:paraId="2913D274" w14:textId="77777777" w:rsidR="00092171" w:rsidRPr="00092171" w:rsidRDefault="00092171" w:rsidP="00DB13FF"/>
        </w:tc>
      </w:tr>
      <w:tr w:rsidR="00092171" w:rsidRPr="00092171" w14:paraId="3CE456AF" w14:textId="77777777" w:rsidTr="00DB13FF">
        <w:trPr>
          <w:trHeight w:val="70"/>
        </w:trPr>
        <w:tc>
          <w:tcPr>
            <w:tcW w:w="5382" w:type="dxa"/>
          </w:tcPr>
          <w:p w14:paraId="7E650F93" w14:textId="77777777" w:rsidR="00092171" w:rsidRPr="00092171" w:rsidRDefault="00092171" w:rsidP="00DB13FF">
            <w:pPr>
              <w:pStyle w:val="ListParagraph"/>
              <w:numPr>
                <w:ilvl w:val="0"/>
                <w:numId w:val="9"/>
              </w:numPr>
              <w:jc w:val="left"/>
            </w:pPr>
            <w:r w:rsidRPr="00092171">
              <w:t xml:space="preserve">Reports about child wellbeing, safety or protection concerns are undertaken according to legislative thresholds within the Children, Youth and Families Act 2005 (Vic). </w:t>
            </w:r>
          </w:p>
        </w:tc>
        <w:tc>
          <w:tcPr>
            <w:tcW w:w="1134" w:type="dxa"/>
          </w:tcPr>
          <w:p w14:paraId="06136C5F" w14:textId="77777777" w:rsidR="00092171" w:rsidRPr="00092171" w:rsidRDefault="00092171" w:rsidP="00DB13FF"/>
        </w:tc>
        <w:tc>
          <w:tcPr>
            <w:tcW w:w="3118" w:type="dxa"/>
          </w:tcPr>
          <w:p w14:paraId="323136A1" w14:textId="77777777" w:rsidR="00092171" w:rsidRPr="00092171" w:rsidRDefault="00092171" w:rsidP="00433440">
            <w:pPr>
              <w:pStyle w:val="ListParagraph"/>
              <w:ind w:left="0"/>
            </w:pPr>
          </w:p>
        </w:tc>
        <w:tc>
          <w:tcPr>
            <w:tcW w:w="3261" w:type="dxa"/>
          </w:tcPr>
          <w:p w14:paraId="25098838" w14:textId="77777777" w:rsidR="00092171" w:rsidRPr="00092171" w:rsidRDefault="00092171" w:rsidP="00DB13FF"/>
        </w:tc>
        <w:tc>
          <w:tcPr>
            <w:tcW w:w="2126" w:type="dxa"/>
          </w:tcPr>
          <w:p w14:paraId="79BB9BFD" w14:textId="77777777" w:rsidR="00092171" w:rsidRPr="00092171" w:rsidRDefault="00092171" w:rsidP="00DB13FF"/>
        </w:tc>
        <w:tc>
          <w:tcPr>
            <w:tcW w:w="3118" w:type="dxa"/>
          </w:tcPr>
          <w:p w14:paraId="2D5C3C56" w14:textId="77777777" w:rsidR="00092171" w:rsidRPr="00092171" w:rsidRDefault="00092171" w:rsidP="00DB13FF"/>
        </w:tc>
        <w:tc>
          <w:tcPr>
            <w:tcW w:w="3402" w:type="dxa"/>
          </w:tcPr>
          <w:p w14:paraId="468379CC" w14:textId="77777777" w:rsidR="00092171" w:rsidRPr="00092171" w:rsidRDefault="00092171" w:rsidP="00DB13FF"/>
        </w:tc>
      </w:tr>
    </w:tbl>
    <w:p w14:paraId="3C44814B" w14:textId="44BBE9B3" w:rsidR="00092171" w:rsidRDefault="00092171" w:rsidP="00092171">
      <w:pPr>
        <w:pStyle w:val="Heading3"/>
      </w:pPr>
      <w:r>
        <w:lastRenderedPageBreak/>
        <w:t xml:space="preserve">Standard 6.2 </w:t>
      </w:r>
      <w:r w:rsidRPr="00092171">
        <w:t>The service is designed to respond to the unique rights and needs of infants, children and young people.</w:t>
      </w:r>
    </w:p>
    <w:p w14:paraId="364057D6" w14:textId="77777777" w:rsidR="00092171" w:rsidRPr="0089741D" w:rsidRDefault="00092171" w:rsidP="00092171">
      <w:r w:rsidRPr="0089741D">
        <w:t xml:space="preserve">HSS: (1) Empowerment; (3) Wellbeing; </w:t>
      </w:r>
    </w:p>
    <w:p w14:paraId="50F223CB" w14:textId="53B08420" w:rsidR="00092171" w:rsidRDefault="00092171" w:rsidP="00092171">
      <w:r w:rsidRPr="0089741D">
        <w:t>QGF</w:t>
      </w:r>
      <w:r>
        <w:t xml:space="preserve"> domains</w:t>
      </w:r>
      <w:r w:rsidRPr="0089741D">
        <w:t>:</w:t>
      </w:r>
      <w:r>
        <w:t xml:space="preserve"> Client and family partnerships; Workforce</w:t>
      </w:r>
    </w:p>
    <w:p w14:paraId="35C991F9" w14:textId="77777777" w:rsidR="00092171" w:rsidRDefault="00092171" w:rsidP="00092171"/>
    <w:tbl>
      <w:tblPr>
        <w:tblStyle w:val="TableGridLight"/>
        <w:tblW w:w="21541" w:type="dxa"/>
        <w:tblLook w:val="0020" w:firstRow="1" w:lastRow="0" w:firstColumn="0" w:lastColumn="0" w:noHBand="0" w:noVBand="0"/>
      </w:tblPr>
      <w:tblGrid>
        <w:gridCol w:w="5382"/>
        <w:gridCol w:w="1134"/>
        <w:gridCol w:w="3118"/>
        <w:gridCol w:w="3261"/>
        <w:gridCol w:w="2126"/>
        <w:gridCol w:w="3118"/>
        <w:gridCol w:w="3402"/>
      </w:tblGrid>
      <w:tr w:rsidR="00092171" w:rsidRPr="0089741D" w14:paraId="46426AE4" w14:textId="77777777" w:rsidTr="00DB13FF">
        <w:trPr>
          <w:trHeight w:val="70"/>
        </w:trPr>
        <w:tc>
          <w:tcPr>
            <w:tcW w:w="5382" w:type="dxa"/>
            <w:shd w:val="clear" w:color="auto" w:fill="F2F2F2" w:themeFill="background1" w:themeFillShade="F2"/>
          </w:tcPr>
          <w:p w14:paraId="1481F199" w14:textId="77777777" w:rsidR="00092171" w:rsidRPr="0089741D" w:rsidRDefault="00092171" w:rsidP="00DB13FF">
            <w:r w:rsidRPr="0089741D">
              <w:t>INDICATORS</w:t>
            </w:r>
          </w:p>
        </w:tc>
        <w:tc>
          <w:tcPr>
            <w:tcW w:w="1134" w:type="dxa"/>
            <w:shd w:val="clear" w:color="auto" w:fill="F2F2F2" w:themeFill="background1" w:themeFillShade="F2"/>
          </w:tcPr>
          <w:p w14:paraId="581E27D6" w14:textId="77777777" w:rsidR="00092171" w:rsidRPr="0089741D" w:rsidRDefault="00092171" w:rsidP="00DB13FF">
            <w:r w:rsidRPr="0089741D">
              <w:t>RATING</w:t>
            </w:r>
          </w:p>
        </w:tc>
        <w:tc>
          <w:tcPr>
            <w:tcW w:w="3118" w:type="dxa"/>
            <w:shd w:val="clear" w:color="auto" w:fill="F2F2F2" w:themeFill="background1" w:themeFillShade="F2"/>
          </w:tcPr>
          <w:p w14:paraId="17EB31DC" w14:textId="77777777" w:rsidR="00092171" w:rsidRPr="0089741D" w:rsidRDefault="00092171" w:rsidP="00DB13FF">
            <w:r w:rsidRPr="0089741D">
              <w:t>EVIDENCE</w:t>
            </w:r>
          </w:p>
        </w:tc>
        <w:tc>
          <w:tcPr>
            <w:tcW w:w="3261" w:type="dxa"/>
            <w:shd w:val="clear" w:color="auto" w:fill="F2F2F2" w:themeFill="background1" w:themeFillShade="F2"/>
          </w:tcPr>
          <w:p w14:paraId="34E474BA" w14:textId="77777777" w:rsidR="00092171" w:rsidRPr="0089741D" w:rsidRDefault="00092171" w:rsidP="00DB13FF">
            <w:r w:rsidRPr="0089741D">
              <w:t xml:space="preserve">IMPROVEMENT ACTIONS </w:t>
            </w:r>
          </w:p>
        </w:tc>
        <w:tc>
          <w:tcPr>
            <w:tcW w:w="2126" w:type="dxa"/>
            <w:shd w:val="clear" w:color="auto" w:fill="F2F2F2" w:themeFill="background1" w:themeFillShade="F2"/>
          </w:tcPr>
          <w:p w14:paraId="3B5ED910" w14:textId="77777777" w:rsidR="00092171" w:rsidRPr="0089741D" w:rsidRDefault="00092171" w:rsidP="00DB13FF">
            <w:r w:rsidRPr="0089741D">
              <w:t>TIMEFRAME</w:t>
            </w:r>
          </w:p>
        </w:tc>
        <w:tc>
          <w:tcPr>
            <w:tcW w:w="3118" w:type="dxa"/>
            <w:shd w:val="clear" w:color="auto" w:fill="F2F2F2" w:themeFill="background1" w:themeFillShade="F2"/>
          </w:tcPr>
          <w:p w14:paraId="40BA1E51" w14:textId="77777777" w:rsidR="00092171" w:rsidRPr="0089741D" w:rsidRDefault="00092171" w:rsidP="00DB13FF">
            <w:r w:rsidRPr="0089741D">
              <w:t>PERSON(S) RESPONSIBLE</w:t>
            </w:r>
          </w:p>
        </w:tc>
        <w:tc>
          <w:tcPr>
            <w:tcW w:w="3402" w:type="dxa"/>
            <w:shd w:val="clear" w:color="auto" w:fill="F2F2F2" w:themeFill="background1" w:themeFillShade="F2"/>
          </w:tcPr>
          <w:p w14:paraId="3F29EBA8" w14:textId="77777777" w:rsidR="00092171" w:rsidRPr="0089741D" w:rsidRDefault="00092171" w:rsidP="00DB13FF">
            <w:r w:rsidRPr="0089741D">
              <w:t>OUTCOME</w:t>
            </w:r>
          </w:p>
        </w:tc>
      </w:tr>
      <w:tr w:rsidR="00092171" w:rsidRPr="0089741D" w14:paraId="730D7A4A" w14:textId="77777777" w:rsidTr="00DB13FF">
        <w:trPr>
          <w:trHeight w:val="1557"/>
        </w:trPr>
        <w:tc>
          <w:tcPr>
            <w:tcW w:w="5382" w:type="dxa"/>
          </w:tcPr>
          <w:p w14:paraId="7D0B8504" w14:textId="77777777" w:rsidR="00092171" w:rsidRPr="0089741D" w:rsidRDefault="00092171" w:rsidP="00092171">
            <w:pPr>
              <w:pStyle w:val="ListParagraph"/>
              <w:numPr>
                <w:ilvl w:val="0"/>
                <w:numId w:val="10"/>
              </w:numPr>
              <w:jc w:val="left"/>
            </w:pPr>
            <w:r w:rsidRPr="0089741D">
              <w:t>Child-focused practice responses are appropriate to the service context, child developmental stages, intersectional experience, and the nature of service engagement (i.e. directly with the child or young person, via the parent/carer, or in conjunction with both).</w:t>
            </w:r>
          </w:p>
        </w:tc>
        <w:tc>
          <w:tcPr>
            <w:tcW w:w="1134" w:type="dxa"/>
          </w:tcPr>
          <w:p w14:paraId="3DFAE2A3" w14:textId="77777777" w:rsidR="00092171" w:rsidRPr="0089741D" w:rsidRDefault="00092171" w:rsidP="00433440">
            <w:pPr>
              <w:pStyle w:val="ListParagraph"/>
              <w:ind w:left="33"/>
            </w:pPr>
          </w:p>
        </w:tc>
        <w:tc>
          <w:tcPr>
            <w:tcW w:w="3118" w:type="dxa"/>
          </w:tcPr>
          <w:p w14:paraId="5CD56E8A" w14:textId="77777777" w:rsidR="00092171" w:rsidRPr="0089741D" w:rsidRDefault="00092171" w:rsidP="00433440">
            <w:pPr>
              <w:pStyle w:val="ListParagraph"/>
              <w:ind w:left="0"/>
            </w:pPr>
          </w:p>
        </w:tc>
        <w:tc>
          <w:tcPr>
            <w:tcW w:w="3261" w:type="dxa"/>
          </w:tcPr>
          <w:p w14:paraId="02FE907C" w14:textId="77777777" w:rsidR="00092171" w:rsidRPr="0089741D" w:rsidRDefault="00092171" w:rsidP="00433440">
            <w:pPr>
              <w:pStyle w:val="ListParagraph"/>
              <w:ind w:left="0"/>
            </w:pPr>
          </w:p>
        </w:tc>
        <w:tc>
          <w:tcPr>
            <w:tcW w:w="2126" w:type="dxa"/>
          </w:tcPr>
          <w:p w14:paraId="7AF98B2F" w14:textId="77777777" w:rsidR="00092171" w:rsidRPr="0089741D" w:rsidRDefault="00092171" w:rsidP="00433440">
            <w:pPr>
              <w:pStyle w:val="ListParagraph"/>
              <w:ind w:left="0"/>
            </w:pPr>
          </w:p>
        </w:tc>
        <w:tc>
          <w:tcPr>
            <w:tcW w:w="3118" w:type="dxa"/>
          </w:tcPr>
          <w:p w14:paraId="525D7560" w14:textId="77777777" w:rsidR="00092171" w:rsidRPr="0089741D" w:rsidRDefault="00092171" w:rsidP="00433440">
            <w:pPr>
              <w:pStyle w:val="ListParagraph"/>
              <w:ind w:left="0"/>
            </w:pPr>
          </w:p>
        </w:tc>
        <w:tc>
          <w:tcPr>
            <w:tcW w:w="3402" w:type="dxa"/>
          </w:tcPr>
          <w:p w14:paraId="666CB29F" w14:textId="77777777" w:rsidR="00092171" w:rsidRPr="0089741D" w:rsidRDefault="00092171" w:rsidP="00433440">
            <w:pPr>
              <w:pStyle w:val="ListParagraph"/>
              <w:ind w:left="34"/>
            </w:pPr>
          </w:p>
        </w:tc>
      </w:tr>
      <w:tr w:rsidR="00092171" w:rsidRPr="0089741D" w14:paraId="30FB28D4" w14:textId="77777777" w:rsidTr="00DB13FF">
        <w:trPr>
          <w:trHeight w:val="964"/>
        </w:trPr>
        <w:tc>
          <w:tcPr>
            <w:tcW w:w="5382" w:type="dxa"/>
          </w:tcPr>
          <w:p w14:paraId="671964BD" w14:textId="77777777" w:rsidR="00092171" w:rsidRPr="0089741D" w:rsidRDefault="00092171" w:rsidP="00092171">
            <w:pPr>
              <w:pStyle w:val="ListParagraph"/>
              <w:numPr>
                <w:ilvl w:val="0"/>
                <w:numId w:val="10"/>
              </w:numPr>
              <w:jc w:val="left"/>
            </w:pPr>
            <w:r w:rsidRPr="0089741D">
              <w:t>Service responses accounts for infants, children and young people as individuals with their own risk assessment, risk management and case plan goals (even where direct engagement with the child or young person is minimal).</w:t>
            </w:r>
          </w:p>
        </w:tc>
        <w:tc>
          <w:tcPr>
            <w:tcW w:w="1134" w:type="dxa"/>
          </w:tcPr>
          <w:p w14:paraId="543A8A3D" w14:textId="77777777" w:rsidR="00092171" w:rsidRPr="0089741D" w:rsidRDefault="00092171" w:rsidP="00433440">
            <w:pPr>
              <w:pStyle w:val="ListParagraph"/>
              <w:ind w:left="33"/>
            </w:pPr>
          </w:p>
        </w:tc>
        <w:tc>
          <w:tcPr>
            <w:tcW w:w="3118" w:type="dxa"/>
          </w:tcPr>
          <w:p w14:paraId="64D62F5C" w14:textId="77777777" w:rsidR="00092171" w:rsidRPr="0089741D" w:rsidRDefault="00092171" w:rsidP="00433440">
            <w:pPr>
              <w:pStyle w:val="ListParagraph"/>
              <w:ind w:left="0"/>
            </w:pPr>
          </w:p>
        </w:tc>
        <w:tc>
          <w:tcPr>
            <w:tcW w:w="3261" w:type="dxa"/>
          </w:tcPr>
          <w:p w14:paraId="07E3B72A" w14:textId="77777777" w:rsidR="00092171" w:rsidRPr="0089741D" w:rsidRDefault="00092171" w:rsidP="00433440">
            <w:pPr>
              <w:pStyle w:val="ListParagraph"/>
              <w:ind w:left="0"/>
            </w:pPr>
          </w:p>
        </w:tc>
        <w:tc>
          <w:tcPr>
            <w:tcW w:w="2126" w:type="dxa"/>
          </w:tcPr>
          <w:p w14:paraId="45F67876" w14:textId="77777777" w:rsidR="00092171" w:rsidRPr="0089741D" w:rsidRDefault="00092171" w:rsidP="00433440">
            <w:pPr>
              <w:pStyle w:val="ListParagraph"/>
              <w:ind w:left="0"/>
            </w:pPr>
          </w:p>
        </w:tc>
        <w:tc>
          <w:tcPr>
            <w:tcW w:w="3118" w:type="dxa"/>
          </w:tcPr>
          <w:p w14:paraId="1B78152B" w14:textId="77777777" w:rsidR="00092171" w:rsidRPr="0089741D" w:rsidRDefault="00092171" w:rsidP="00433440">
            <w:pPr>
              <w:pStyle w:val="ListParagraph"/>
              <w:ind w:left="0"/>
            </w:pPr>
          </w:p>
        </w:tc>
        <w:tc>
          <w:tcPr>
            <w:tcW w:w="3402" w:type="dxa"/>
          </w:tcPr>
          <w:p w14:paraId="68D0E557" w14:textId="77777777" w:rsidR="00092171" w:rsidRPr="0089741D" w:rsidRDefault="00092171" w:rsidP="00433440">
            <w:pPr>
              <w:pStyle w:val="ListParagraph"/>
              <w:ind w:left="34"/>
            </w:pPr>
          </w:p>
        </w:tc>
      </w:tr>
      <w:tr w:rsidR="00092171" w:rsidRPr="0089741D" w14:paraId="6188F921" w14:textId="77777777" w:rsidTr="00DB13FF">
        <w:trPr>
          <w:trHeight w:val="991"/>
        </w:trPr>
        <w:tc>
          <w:tcPr>
            <w:tcW w:w="5382" w:type="dxa"/>
          </w:tcPr>
          <w:p w14:paraId="2E5A07E9" w14:textId="77777777" w:rsidR="00092171" w:rsidRPr="0089741D" w:rsidRDefault="00092171" w:rsidP="00092171">
            <w:pPr>
              <w:pStyle w:val="ListParagraph"/>
              <w:numPr>
                <w:ilvl w:val="0"/>
                <w:numId w:val="10"/>
              </w:numPr>
              <w:jc w:val="left"/>
            </w:pPr>
            <w:r w:rsidRPr="0089741D">
              <w:t>Coordinated responses and referral pathways are implemented with services that specialise in working with children and young people, including where a child or young person is using family violence.</w:t>
            </w:r>
          </w:p>
        </w:tc>
        <w:tc>
          <w:tcPr>
            <w:tcW w:w="1134" w:type="dxa"/>
          </w:tcPr>
          <w:p w14:paraId="4EEE46A4" w14:textId="77777777" w:rsidR="00092171" w:rsidRPr="0089741D" w:rsidRDefault="00092171" w:rsidP="00433440">
            <w:pPr>
              <w:pStyle w:val="ListParagraph"/>
              <w:ind w:left="33"/>
            </w:pPr>
          </w:p>
        </w:tc>
        <w:tc>
          <w:tcPr>
            <w:tcW w:w="3118" w:type="dxa"/>
          </w:tcPr>
          <w:p w14:paraId="2618E8FB" w14:textId="77777777" w:rsidR="00092171" w:rsidRPr="0089741D" w:rsidRDefault="00092171" w:rsidP="00433440">
            <w:pPr>
              <w:pStyle w:val="ListParagraph"/>
              <w:ind w:left="0"/>
            </w:pPr>
          </w:p>
        </w:tc>
        <w:tc>
          <w:tcPr>
            <w:tcW w:w="3261" w:type="dxa"/>
          </w:tcPr>
          <w:p w14:paraId="24AEB223" w14:textId="77777777" w:rsidR="00092171" w:rsidRPr="0089741D" w:rsidRDefault="00092171" w:rsidP="00433440">
            <w:pPr>
              <w:pStyle w:val="ListParagraph"/>
              <w:ind w:left="0"/>
            </w:pPr>
          </w:p>
        </w:tc>
        <w:tc>
          <w:tcPr>
            <w:tcW w:w="2126" w:type="dxa"/>
          </w:tcPr>
          <w:p w14:paraId="5CF4B118" w14:textId="77777777" w:rsidR="00092171" w:rsidRPr="0089741D" w:rsidRDefault="00092171" w:rsidP="00433440">
            <w:pPr>
              <w:pStyle w:val="ListParagraph"/>
              <w:ind w:left="0"/>
            </w:pPr>
          </w:p>
        </w:tc>
        <w:tc>
          <w:tcPr>
            <w:tcW w:w="3118" w:type="dxa"/>
          </w:tcPr>
          <w:p w14:paraId="323AD164" w14:textId="77777777" w:rsidR="00092171" w:rsidRPr="0089741D" w:rsidRDefault="00092171" w:rsidP="00433440">
            <w:pPr>
              <w:pStyle w:val="ListParagraph"/>
              <w:ind w:left="0"/>
            </w:pPr>
          </w:p>
        </w:tc>
        <w:tc>
          <w:tcPr>
            <w:tcW w:w="3402" w:type="dxa"/>
          </w:tcPr>
          <w:p w14:paraId="157FC3D8" w14:textId="77777777" w:rsidR="00092171" w:rsidRPr="0089741D" w:rsidRDefault="00092171" w:rsidP="00433440">
            <w:pPr>
              <w:pStyle w:val="ListParagraph"/>
              <w:ind w:left="34"/>
            </w:pPr>
          </w:p>
        </w:tc>
      </w:tr>
    </w:tbl>
    <w:p w14:paraId="5874D0FA" w14:textId="560B0014" w:rsidR="00092171" w:rsidRDefault="00092171" w:rsidP="00092171"/>
    <w:p w14:paraId="43E2B732" w14:textId="022C0D68" w:rsidR="00092171" w:rsidRDefault="00092171" w:rsidP="00092171">
      <w:pPr>
        <w:pStyle w:val="Heading3"/>
      </w:pPr>
      <w:r>
        <w:t xml:space="preserve">Standard </w:t>
      </w:r>
      <w:r w:rsidRPr="0089741D">
        <w:t>6.3 The service is child-friendly and promotes the participation of children and young people.</w:t>
      </w:r>
    </w:p>
    <w:p w14:paraId="42F83188" w14:textId="77777777" w:rsidR="00092171" w:rsidRPr="0089741D" w:rsidRDefault="00092171" w:rsidP="00092171">
      <w:r w:rsidRPr="0089741D">
        <w:t>HSS: (1) Empowerment; (4) Participation</w:t>
      </w:r>
    </w:p>
    <w:p w14:paraId="6F0AF644" w14:textId="4690FCA2" w:rsidR="00092171" w:rsidRDefault="00092171" w:rsidP="00092171">
      <w:r w:rsidRPr="0089741D">
        <w:t>QGF</w:t>
      </w:r>
      <w:r>
        <w:t xml:space="preserve"> domains:</w:t>
      </w:r>
      <w:r w:rsidRPr="0089741D">
        <w:t xml:space="preserve"> </w:t>
      </w:r>
      <w:r>
        <w:t>Client and family partnerships; Workforce</w:t>
      </w:r>
    </w:p>
    <w:p w14:paraId="096D0408" w14:textId="69B42B5B" w:rsidR="00092171" w:rsidRDefault="00092171" w:rsidP="00FD4A08"/>
    <w:tbl>
      <w:tblPr>
        <w:tblStyle w:val="TableGridLight"/>
        <w:tblW w:w="21541" w:type="dxa"/>
        <w:tblLook w:val="0020" w:firstRow="1" w:lastRow="0" w:firstColumn="0" w:lastColumn="0" w:noHBand="0" w:noVBand="0"/>
      </w:tblPr>
      <w:tblGrid>
        <w:gridCol w:w="5382"/>
        <w:gridCol w:w="1134"/>
        <w:gridCol w:w="3118"/>
        <w:gridCol w:w="3261"/>
        <w:gridCol w:w="2126"/>
        <w:gridCol w:w="3118"/>
        <w:gridCol w:w="3402"/>
      </w:tblGrid>
      <w:tr w:rsidR="00092171" w:rsidRPr="0089741D" w14:paraId="64170A03" w14:textId="77777777" w:rsidTr="00DB13FF">
        <w:trPr>
          <w:trHeight w:val="70"/>
        </w:trPr>
        <w:tc>
          <w:tcPr>
            <w:tcW w:w="5382" w:type="dxa"/>
            <w:shd w:val="clear" w:color="auto" w:fill="F2F2F2" w:themeFill="background1" w:themeFillShade="F2"/>
          </w:tcPr>
          <w:p w14:paraId="40978B63" w14:textId="77777777" w:rsidR="00092171" w:rsidRPr="0089741D" w:rsidRDefault="00092171" w:rsidP="00DB13FF">
            <w:r w:rsidRPr="0089741D">
              <w:t>INDICATORS</w:t>
            </w:r>
          </w:p>
        </w:tc>
        <w:tc>
          <w:tcPr>
            <w:tcW w:w="1134" w:type="dxa"/>
            <w:shd w:val="clear" w:color="auto" w:fill="F2F2F2" w:themeFill="background1" w:themeFillShade="F2"/>
          </w:tcPr>
          <w:p w14:paraId="10CB3686" w14:textId="77777777" w:rsidR="00092171" w:rsidRPr="0089741D" w:rsidRDefault="00092171" w:rsidP="00DB13FF">
            <w:r w:rsidRPr="0089741D">
              <w:t>RATING</w:t>
            </w:r>
          </w:p>
        </w:tc>
        <w:tc>
          <w:tcPr>
            <w:tcW w:w="3118" w:type="dxa"/>
            <w:shd w:val="clear" w:color="auto" w:fill="F2F2F2" w:themeFill="background1" w:themeFillShade="F2"/>
          </w:tcPr>
          <w:p w14:paraId="5EF77930" w14:textId="77777777" w:rsidR="00092171" w:rsidRPr="0089741D" w:rsidRDefault="00092171" w:rsidP="00DB13FF">
            <w:r w:rsidRPr="0089741D">
              <w:t>EVIDENCE</w:t>
            </w:r>
          </w:p>
        </w:tc>
        <w:tc>
          <w:tcPr>
            <w:tcW w:w="3261" w:type="dxa"/>
            <w:shd w:val="clear" w:color="auto" w:fill="F2F2F2" w:themeFill="background1" w:themeFillShade="F2"/>
          </w:tcPr>
          <w:p w14:paraId="56F0FD5A" w14:textId="77777777" w:rsidR="00092171" w:rsidRPr="0089741D" w:rsidRDefault="00092171" w:rsidP="00DB13FF">
            <w:r w:rsidRPr="0089741D">
              <w:t>IMPROVEMENT ACTIONS</w:t>
            </w:r>
          </w:p>
        </w:tc>
        <w:tc>
          <w:tcPr>
            <w:tcW w:w="2126" w:type="dxa"/>
            <w:shd w:val="clear" w:color="auto" w:fill="F2F2F2" w:themeFill="background1" w:themeFillShade="F2"/>
          </w:tcPr>
          <w:p w14:paraId="76345A81" w14:textId="77777777" w:rsidR="00092171" w:rsidRPr="0089741D" w:rsidRDefault="00092171" w:rsidP="00DB13FF">
            <w:r w:rsidRPr="0089741D">
              <w:t>TIMEFRAME</w:t>
            </w:r>
          </w:p>
        </w:tc>
        <w:tc>
          <w:tcPr>
            <w:tcW w:w="3118" w:type="dxa"/>
            <w:shd w:val="clear" w:color="auto" w:fill="F2F2F2" w:themeFill="background1" w:themeFillShade="F2"/>
          </w:tcPr>
          <w:p w14:paraId="51810DE2" w14:textId="77777777" w:rsidR="00092171" w:rsidRPr="0089741D" w:rsidRDefault="00092171" w:rsidP="00DB13FF">
            <w:r w:rsidRPr="0089741D">
              <w:t>PERSON(S) RESPONSIBLE</w:t>
            </w:r>
          </w:p>
        </w:tc>
        <w:tc>
          <w:tcPr>
            <w:tcW w:w="3402" w:type="dxa"/>
            <w:shd w:val="clear" w:color="auto" w:fill="F2F2F2" w:themeFill="background1" w:themeFillShade="F2"/>
          </w:tcPr>
          <w:p w14:paraId="5EFE7D3A" w14:textId="77777777" w:rsidR="00092171" w:rsidRPr="0089741D" w:rsidRDefault="00092171" w:rsidP="00DB13FF">
            <w:r w:rsidRPr="0089741D">
              <w:t>OUTCOME</w:t>
            </w:r>
          </w:p>
        </w:tc>
      </w:tr>
      <w:tr w:rsidR="00092171" w:rsidRPr="0089741D" w14:paraId="60699F0F" w14:textId="77777777" w:rsidTr="00DB13FF">
        <w:trPr>
          <w:trHeight w:val="472"/>
        </w:trPr>
        <w:tc>
          <w:tcPr>
            <w:tcW w:w="5382" w:type="dxa"/>
          </w:tcPr>
          <w:p w14:paraId="62E7FD2A" w14:textId="5563F0CE" w:rsidR="00092171" w:rsidRPr="00A7656F" w:rsidRDefault="00092171" w:rsidP="00092171">
            <w:pPr>
              <w:pStyle w:val="ListParagraph"/>
              <w:numPr>
                <w:ilvl w:val="0"/>
                <w:numId w:val="11"/>
              </w:numPr>
              <w:jc w:val="left"/>
            </w:pPr>
            <w:r w:rsidRPr="004C66D8">
              <w:t xml:space="preserve">Play and leisure is catered for in the service environment with regard to children’s diversity, </w:t>
            </w:r>
            <w:r>
              <w:t>ability</w:t>
            </w:r>
            <w:r w:rsidRPr="004C66D8">
              <w:t xml:space="preserve"> and stages of development.</w:t>
            </w:r>
          </w:p>
        </w:tc>
        <w:tc>
          <w:tcPr>
            <w:tcW w:w="1134" w:type="dxa"/>
          </w:tcPr>
          <w:p w14:paraId="78E8198F" w14:textId="77777777" w:rsidR="00092171" w:rsidRPr="0089741D" w:rsidRDefault="00092171" w:rsidP="00433440">
            <w:pPr>
              <w:pStyle w:val="ListParagraph"/>
              <w:ind w:left="0"/>
            </w:pPr>
          </w:p>
        </w:tc>
        <w:tc>
          <w:tcPr>
            <w:tcW w:w="3118" w:type="dxa"/>
          </w:tcPr>
          <w:p w14:paraId="7B2972F7" w14:textId="77777777" w:rsidR="00092171" w:rsidRPr="0089741D" w:rsidRDefault="00092171" w:rsidP="00433440">
            <w:pPr>
              <w:pStyle w:val="ListParagraph"/>
              <w:ind w:left="0"/>
            </w:pPr>
          </w:p>
        </w:tc>
        <w:tc>
          <w:tcPr>
            <w:tcW w:w="3261" w:type="dxa"/>
          </w:tcPr>
          <w:p w14:paraId="002C5CDA" w14:textId="77777777" w:rsidR="00092171" w:rsidRPr="0089741D" w:rsidRDefault="00092171" w:rsidP="00433440">
            <w:pPr>
              <w:pStyle w:val="ListParagraph"/>
              <w:ind w:left="0"/>
            </w:pPr>
          </w:p>
        </w:tc>
        <w:tc>
          <w:tcPr>
            <w:tcW w:w="2126" w:type="dxa"/>
          </w:tcPr>
          <w:p w14:paraId="40F2D90F" w14:textId="77777777" w:rsidR="00092171" w:rsidRPr="0089741D" w:rsidRDefault="00092171" w:rsidP="00433440">
            <w:pPr>
              <w:pStyle w:val="ListParagraph"/>
              <w:ind w:left="0"/>
            </w:pPr>
          </w:p>
        </w:tc>
        <w:tc>
          <w:tcPr>
            <w:tcW w:w="3118" w:type="dxa"/>
          </w:tcPr>
          <w:p w14:paraId="3F7DE154" w14:textId="77777777" w:rsidR="00092171" w:rsidRPr="0089741D" w:rsidRDefault="00092171" w:rsidP="00433440">
            <w:pPr>
              <w:pStyle w:val="ListParagraph"/>
              <w:ind w:left="36"/>
            </w:pPr>
          </w:p>
        </w:tc>
        <w:tc>
          <w:tcPr>
            <w:tcW w:w="3402" w:type="dxa"/>
          </w:tcPr>
          <w:p w14:paraId="5B3A2350" w14:textId="77777777" w:rsidR="00092171" w:rsidRPr="0089741D" w:rsidRDefault="00092171" w:rsidP="00433440">
            <w:pPr>
              <w:pStyle w:val="ListParagraph"/>
              <w:ind w:left="0"/>
            </w:pPr>
          </w:p>
        </w:tc>
      </w:tr>
      <w:tr w:rsidR="00092171" w:rsidRPr="0089741D" w14:paraId="437DAD7A" w14:textId="77777777" w:rsidTr="00DB13FF">
        <w:trPr>
          <w:trHeight w:val="1123"/>
        </w:trPr>
        <w:tc>
          <w:tcPr>
            <w:tcW w:w="5382" w:type="dxa"/>
          </w:tcPr>
          <w:p w14:paraId="4F07EAF9" w14:textId="77777777" w:rsidR="00092171" w:rsidRPr="0089741D" w:rsidRDefault="00092171" w:rsidP="00092171">
            <w:pPr>
              <w:pStyle w:val="ListParagraph"/>
              <w:numPr>
                <w:ilvl w:val="0"/>
                <w:numId w:val="11"/>
              </w:numPr>
              <w:jc w:val="left"/>
            </w:pPr>
            <w:r w:rsidRPr="0089741D">
              <w:t>Age appropriate and accessible information is provided to children and young people about what the service does, how their information is managed, how they will be involved in decisions that impact them, and how to ask for help.</w:t>
            </w:r>
          </w:p>
        </w:tc>
        <w:tc>
          <w:tcPr>
            <w:tcW w:w="1134" w:type="dxa"/>
          </w:tcPr>
          <w:p w14:paraId="7DCE3B34" w14:textId="77777777" w:rsidR="00092171" w:rsidRPr="0089741D" w:rsidRDefault="00092171" w:rsidP="00433440">
            <w:pPr>
              <w:pStyle w:val="ListParagraph"/>
              <w:ind w:left="0"/>
            </w:pPr>
          </w:p>
        </w:tc>
        <w:tc>
          <w:tcPr>
            <w:tcW w:w="3118" w:type="dxa"/>
          </w:tcPr>
          <w:p w14:paraId="6BC2378B" w14:textId="77777777" w:rsidR="00092171" w:rsidRPr="0089741D" w:rsidRDefault="00092171" w:rsidP="00433440">
            <w:pPr>
              <w:pStyle w:val="ListParagraph"/>
              <w:ind w:left="0"/>
            </w:pPr>
          </w:p>
        </w:tc>
        <w:tc>
          <w:tcPr>
            <w:tcW w:w="3261" w:type="dxa"/>
          </w:tcPr>
          <w:p w14:paraId="14D9C0DE" w14:textId="77777777" w:rsidR="00092171" w:rsidRPr="0089741D" w:rsidRDefault="00092171" w:rsidP="00433440">
            <w:pPr>
              <w:pStyle w:val="ListParagraph"/>
              <w:ind w:left="0"/>
            </w:pPr>
          </w:p>
        </w:tc>
        <w:tc>
          <w:tcPr>
            <w:tcW w:w="2126" w:type="dxa"/>
          </w:tcPr>
          <w:p w14:paraId="00C8B163" w14:textId="77777777" w:rsidR="00092171" w:rsidRPr="0089741D" w:rsidRDefault="00092171" w:rsidP="00433440">
            <w:pPr>
              <w:pStyle w:val="ListParagraph"/>
              <w:ind w:left="0"/>
            </w:pPr>
          </w:p>
        </w:tc>
        <w:tc>
          <w:tcPr>
            <w:tcW w:w="3118" w:type="dxa"/>
          </w:tcPr>
          <w:p w14:paraId="2E49C0F0" w14:textId="77777777" w:rsidR="00092171" w:rsidRPr="0089741D" w:rsidRDefault="00092171" w:rsidP="00433440">
            <w:pPr>
              <w:pStyle w:val="ListParagraph"/>
              <w:ind w:left="36"/>
            </w:pPr>
          </w:p>
        </w:tc>
        <w:tc>
          <w:tcPr>
            <w:tcW w:w="3402" w:type="dxa"/>
          </w:tcPr>
          <w:p w14:paraId="5E7B83D7" w14:textId="77777777" w:rsidR="00092171" w:rsidRPr="0089741D" w:rsidRDefault="00092171" w:rsidP="00433440">
            <w:pPr>
              <w:pStyle w:val="ListParagraph"/>
              <w:ind w:left="0"/>
            </w:pPr>
          </w:p>
        </w:tc>
      </w:tr>
      <w:tr w:rsidR="00092171" w:rsidRPr="0089741D" w14:paraId="5A6E6A0D" w14:textId="77777777" w:rsidTr="00DB13FF">
        <w:trPr>
          <w:trHeight w:val="1123"/>
        </w:trPr>
        <w:tc>
          <w:tcPr>
            <w:tcW w:w="5382" w:type="dxa"/>
          </w:tcPr>
          <w:p w14:paraId="477505B9" w14:textId="77777777" w:rsidR="00092171" w:rsidRPr="00A7656F" w:rsidRDefault="00092171" w:rsidP="00092171">
            <w:pPr>
              <w:pStyle w:val="ListParagraph"/>
              <w:numPr>
                <w:ilvl w:val="0"/>
                <w:numId w:val="11"/>
              </w:numPr>
              <w:jc w:val="left"/>
            </w:pPr>
            <w:r w:rsidRPr="0089741D">
              <w:t>Informal and formal feedback mechanisms for children and young people are implemented and tailored to the service context, developmental stage, and type of engagement.</w:t>
            </w:r>
          </w:p>
        </w:tc>
        <w:tc>
          <w:tcPr>
            <w:tcW w:w="1134" w:type="dxa"/>
          </w:tcPr>
          <w:p w14:paraId="6F697354" w14:textId="77777777" w:rsidR="00092171" w:rsidRPr="0089741D" w:rsidRDefault="00092171" w:rsidP="00433440">
            <w:pPr>
              <w:pStyle w:val="ListParagraph"/>
              <w:ind w:left="0"/>
            </w:pPr>
          </w:p>
        </w:tc>
        <w:tc>
          <w:tcPr>
            <w:tcW w:w="3118" w:type="dxa"/>
          </w:tcPr>
          <w:p w14:paraId="3B7A57A6" w14:textId="77777777" w:rsidR="00092171" w:rsidRPr="0089741D" w:rsidRDefault="00092171" w:rsidP="00433440">
            <w:pPr>
              <w:pStyle w:val="ListParagraph"/>
              <w:ind w:left="0"/>
            </w:pPr>
          </w:p>
        </w:tc>
        <w:tc>
          <w:tcPr>
            <w:tcW w:w="3261" w:type="dxa"/>
          </w:tcPr>
          <w:p w14:paraId="5F815824" w14:textId="77777777" w:rsidR="00092171" w:rsidRPr="0089741D" w:rsidRDefault="00092171" w:rsidP="00433440">
            <w:pPr>
              <w:pStyle w:val="ListParagraph"/>
              <w:ind w:left="0"/>
            </w:pPr>
          </w:p>
        </w:tc>
        <w:tc>
          <w:tcPr>
            <w:tcW w:w="2126" w:type="dxa"/>
          </w:tcPr>
          <w:p w14:paraId="001F38F2" w14:textId="77777777" w:rsidR="00092171" w:rsidRPr="0089741D" w:rsidRDefault="00092171" w:rsidP="00433440">
            <w:pPr>
              <w:pStyle w:val="ListParagraph"/>
              <w:ind w:left="0"/>
            </w:pPr>
          </w:p>
        </w:tc>
        <w:tc>
          <w:tcPr>
            <w:tcW w:w="3118" w:type="dxa"/>
          </w:tcPr>
          <w:p w14:paraId="48D8438D" w14:textId="77777777" w:rsidR="00092171" w:rsidRPr="0089741D" w:rsidRDefault="00092171" w:rsidP="00433440">
            <w:pPr>
              <w:pStyle w:val="ListParagraph"/>
              <w:ind w:left="36"/>
            </w:pPr>
          </w:p>
        </w:tc>
        <w:tc>
          <w:tcPr>
            <w:tcW w:w="3402" w:type="dxa"/>
          </w:tcPr>
          <w:p w14:paraId="2BA45570" w14:textId="77777777" w:rsidR="00092171" w:rsidRPr="0089741D" w:rsidRDefault="00092171" w:rsidP="00433440">
            <w:pPr>
              <w:pStyle w:val="ListParagraph"/>
              <w:ind w:left="0"/>
            </w:pPr>
          </w:p>
        </w:tc>
      </w:tr>
    </w:tbl>
    <w:p w14:paraId="3FF0294F" w14:textId="77777777" w:rsidR="00092171" w:rsidRDefault="00092171" w:rsidP="00FD4A08"/>
    <w:p w14:paraId="33995DBC" w14:textId="77777777" w:rsidR="00092171" w:rsidRDefault="00092171" w:rsidP="00092171"/>
    <w:p w14:paraId="2F2CCC2F" w14:textId="77777777" w:rsidR="00092171" w:rsidRDefault="00092171" w:rsidP="00092171"/>
    <w:p w14:paraId="31F9517F" w14:textId="77777777" w:rsidR="00092171" w:rsidRDefault="00092171" w:rsidP="00092171"/>
    <w:p w14:paraId="6D02A6C4" w14:textId="77777777" w:rsidR="00092171" w:rsidRDefault="00092171" w:rsidP="00092171"/>
    <w:p w14:paraId="28740995" w14:textId="77777777" w:rsidR="00092171" w:rsidRDefault="00092171" w:rsidP="00092171"/>
    <w:p w14:paraId="529E5A54" w14:textId="77777777" w:rsidR="00092171" w:rsidRDefault="00092171" w:rsidP="00092171"/>
    <w:p w14:paraId="27236A35" w14:textId="77777777" w:rsidR="00092171" w:rsidRDefault="00092171" w:rsidP="00092171"/>
    <w:p w14:paraId="7960F679" w14:textId="77777777" w:rsidR="00092171" w:rsidRDefault="00092171" w:rsidP="00092171"/>
    <w:p w14:paraId="7DD7BD1F" w14:textId="2C103CDE" w:rsidR="00092171" w:rsidRDefault="00092171" w:rsidP="00092171"/>
    <w:p w14:paraId="05FBD5D0" w14:textId="294632C7" w:rsidR="00092171" w:rsidRDefault="00092171" w:rsidP="00092171"/>
    <w:p w14:paraId="0516C833" w14:textId="77777777" w:rsidR="00092171" w:rsidRDefault="00092171" w:rsidP="00092171"/>
    <w:p w14:paraId="286A8C1D" w14:textId="77777777" w:rsidR="00092171" w:rsidRDefault="00092171" w:rsidP="00092171"/>
    <w:p w14:paraId="52A59A44" w14:textId="77777777" w:rsidR="00092171" w:rsidRDefault="00092171" w:rsidP="00092171"/>
    <w:p w14:paraId="37B3042E" w14:textId="607E8DD1" w:rsidR="00092171" w:rsidRDefault="00057A11" w:rsidP="00092171">
      <w:pPr>
        <w:pStyle w:val="Heading3"/>
      </w:pPr>
      <w:r>
        <w:lastRenderedPageBreak/>
        <w:t xml:space="preserve">Standard </w:t>
      </w:r>
      <w:r w:rsidR="00092171" w:rsidRPr="0089741D">
        <w:t>6.4 The service works collaboratively with adult victim-survivors in their parenting/caring role to support children’s ongoing safety and wellbeing.</w:t>
      </w:r>
    </w:p>
    <w:p w14:paraId="7A667F3D" w14:textId="77777777" w:rsidR="00092171" w:rsidRPr="0089741D" w:rsidRDefault="00092171" w:rsidP="00092171">
      <w:r w:rsidRPr="0089741D">
        <w:t>HSS: (3) Wellbeing; (4) Participation</w:t>
      </w:r>
    </w:p>
    <w:p w14:paraId="00E20856" w14:textId="63801C0A" w:rsidR="00092171" w:rsidRDefault="00092171" w:rsidP="00092171">
      <w:r w:rsidRPr="0089741D">
        <w:t>QGF</w:t>
      </w:r>
      <w:r>
        <w:t xml:space="preserve"> domains</w:t>
      </w:r>
      <w:r w:rsidRPr="0089741D">
        <w:t>:</w:t>
      </w:r>
      <w:r>
        <w:t xml:space="preserve"> Client and family partnerships; Workforce</w:t>
      </w:r>
    </w:p>
    <w:p w14:paraId="44C0914F" w14:textId="2A937032" w:rsidR="00092171" w:rsidRDefault="00092171" w:rsidP="00092171"/>
    <w:tbl>
      <w:tblPr>
        <w:tblStyle w:val="TableGridLight"/>
        <w:tblW w:w="21541" w:type="dxa"/>
        <w:tblLook w:val="0020" w:firstRow="1" w:lastRow="0" w:firstColumn="0" w:lastColumn="0" w:noHBand="0" w:noVBand="0"/>
      </w:tblPr>
      <w:tblGrid>
        <w:gridCol w:w="5382"/>
        <w:gridCol w:w="1134"/>
        <w:gridCol w:w="3118"/>
        <w:gridCol w:w="3261"/>
        <w:gridCol w:w="2126"/>
        <w:gridCol w:w="3118"/>
        <w:gridCol w:w="3402"/>
      </w:tblGrid>
      <w:tr w:rsidR="00092171" w:rsidRPr="0089741D" w14:paraId="34FE53BF" w14:textId="77777777" w:rsidTr="00DB13FF">
        <w:trPr>
          <w:trHeight w:val="70"/>
        </w:trPr>
        <w:tc>
          <w:tcPr>
            <w:tcW w:w="5382" w:type="dxa"/>
            <w:shd w:val="clear" w:color="auto" w:fill="F2F2F2" w:themeFill="background1" w:themeFillShade="F2"/>
          </w:tcPr>
          <w:p w14:paraId="4E0ADF00" w14:textId="77777777" w:rsidR="00092171" w:rsidRPr="0089741D" w:rsidRDefault="00092171" w:rsidP="00DB13FF">
            <w:r w:rsidRPr="0089741D">
              <w:t>INDICATORS</w:t>
            </w:r>
          </w:p>
        </w:tc>
        <w:tc>
          <w:tcPr>
            <w:tcW w:w="1134" w:type="dxa"/>
            <w:shd w:val="clear" w:color="auto" w:fill="F2F2F2" w:themeFill="background1" w:themeFillShade="F2"/>
          </w:tcPr>
          <w:p w14:paraId="1219E1F0" w14:textId="77777777" w:rsidR="00092171" w:rsidRPr="0089741D" w:rsidRDefault="00092171" w:rsidP="00DB13FF">
            <w:r w:rsidRPr="0089741D">
              <w:t>RATING</w:t>
            </w:r>
          </w:p>
        </w:tc>
        <w:tc>
          <w:tcPr>
            <w:tcW w:w="3118" w:type="dxa"/>
            <w:shd w:val="clear" w:color="auto" w:fill="F2F2F2" w:themeFill="background1" w:themeFillShade="F2"/>
          </w:tcPr>
          <w:p w14:paraId="05FD6CFD" w14:textId="77777777" w:rsidR="00092171" w:rsidRPr="0089741D" w:rsidRDefault="00092171" w:rsidP="00DB13FF">
            <w:r w:rsidRPr="0089741D">
              <w:t>EVIDENCE</w:t>
            </w:r>
          </w:p>
        </w:tc>
        <w:tc>
          <w:tcPr>
            <w:tcW w:w="3261" w:type="dxa"/>
            <w:shd w:val="clear" w:color="auto" w:fill="F2F2F2" w:themeFill="background1" w:themeFillShade="F2"/>
          </w:tcPr>
          <w:p w14:paraId="664ACD3F" w14:textId="77777777" w:rsidR="00092171" w:rsidRPr="0089741D" w:rsidRDefault="00092171" w:rsidP="00DB13FF">
            <w:r w:rsidRPr="0089741D">
              <w:t>IMPROVEMENT ACTIONS</w:t>
            </w:r>
          </w:p>
        </w:tc>
        <w:tc>
          <w:tcPr>
            <w:tcW w:w="2126" w:type="dxa"/>
            <w:shd w:val="clear" w:color="auto" w:fill="F2F2F2" w:themeFill="background1" w:themeFillShade="F2"/>
          </w:tcPr>
          <w:p w14:paraId="5EB0D196" w14:textId="77777777" w:rsidR="00092171" w:rsidRPr="0089741D" w:rsidRDefault="00092171" w:rsidP="00DB13FF">
            <w:r w:rsidRPr="0089741D">
              <w:t>TIMEFRAME</w:t>
            </w:r>
          </w:p>
        </w:tc>
        <w:tc>
          <w:tcPr>
            <w:tcW w:w="3118" w:type="dxa"/>
            <w:shd w:val="clear" w:color="auto" w:fill="F2F2F2" w:themeFill="background1" w:themeFillShade="F2"/>
          </w:tcPr>
          <w:p w14:paraId="40655051" w14:textId="77777777" w:rsidR="00092171" w:rsidRPr="0089741D" w:rsidRDefault="00092171" w:rsidP="00DB13FF">
            <w:r w:rsidRPr="0089741D">
              <w:t>PERSON(S) RESPONSIBLE</w:t>
            </w:r>
          </w:p>
        </w:tc>
        <w:tc>
          <w:tcPr>
            <w:tcW w:w="3402" w:type="dxa"/>
            <w:shd w:val="clear" w:color="auto" w:fill="F2F2F2" w:themeFill="background1" w:themeFillShade="F2"/>
          </w:tcPr>
          <w:p w14:paraId="09C711B0" w14:textId="77777777" w:rsidR="00092171" w:rsidRPr="0089741D" w:rsidRDefault="00092171" w:rsidP="00DB13FF">
            <w:r w:rsidRPr="0089741D">
              <w:t>OUTCOME</w:t>
            </w:r>
          </w:p>
        </w:tc>
      </w:tr>
      <w:tr w:rsidR="00092171" w:rsidRPr="0089741D" w14:paraId="6CE98834" w14:textId="77777777" w:rsidTr="00DB13FF">
        <w:trPr>
          <w:trHeight w:val="56"/>
        </w:trPr>
        <w:tc>
          <w:tcPr>
            <w:tcW w:w="5382" w:type="dxa"/>
          </w:tcPr>
          <w:p w14:paraId="1BDF92D1" w14:textId="77777777" w:rsidR="00092171" w:rsidRPr="0089741D" w:rsidRDefault="00092171" w:rsidP="00057A11">
            <w:pPr>
              <w:pStyle w:val="ListParagraph"/>
              <w:numPr>
                <w:ilvl w:val="0"/>
                <w:numId w:val="12"/>
              </w:numPr>
              <w:ind w:left="318" w:hanging="284"/>
              <w:jc w:val="left"/>
            </w:pPr>
            <w:r w:rsidRPr="0089741D">
              <w:t>Consent is sought from the adult victim-survivor parents/carers to work directly with infants, children and young people, and make referrals on their behalf, where appropriate.</w:t>
            </w:r>
          </w:p>
        </w:tc>
        <w:tc>
          <w:tcPr>
            <w:tcW w:w="1134" w:type="dxa"/>
          </w:tcPr>
          <w:p w14:paraId="6B1019E4" w14:textId="77777777" w:rsidR="00092171" w:rsidRPr="0089741D" w:rsidRDefault="00092171" w:rsidP="00433440">
            <w:pPr>
              <w:pStyle w:val="ListParagraph"/>
              <w:ind w:left="0"/>
              <w:jc w:val="left"/>
            </w:pPr>
          </w:p>
          <w:p w14:paraId="63BE21FB" w14:textId="77777777" w:rsidR="00092171" w:rsidRPr="0089741D" w:rsidRDefault="00092171" w:rsidP="00433440">
            <w:pPr>
              <w:pStyle w:val="ListParagraph"/>
              <w:ind w:left="0"/>
              <w:jc w:val="left"/>
            </w:pPr>
          </w:p>
          <w:p w14:paraId="102A9897" w14:textId="77777777" w:rsidR="00092171" w:rsidRPr="0089741D" w:rsidRDefault="00092171" w:rsidP="00433440">
            <w:pPr>
              <w:pStyle w:val="ListParagraph"/>
              <w:ind w:left="0"/>
              <w:jc w:val="left"/>
            </w:pPr>
          </w:p>
        </w:tc>
        <w:tc>
          <w:tcPr>
            <w:tcW w:w="3118" w:type="dxa"/>
          </w:tcPr>
          <w:p w14:paraId="4D2C9CBD" w14:textId="77777777" w:rsidR="00092171" w:rsidRPr="0089741D" w:rsidRDefault="00092171" w:rsidP="00433440">
            <w:pPr>
              <w:pStyle w:val="ListParagraph"/>
              <w:ind w:left="0"/>
              <w:jc w:val="left"/>
            </w:pPr>
          </w:p>
        </w:tc>
        <w:tc>
          <w:tcPr>
            <w:tcW w:w="3261" w:type="dxa"/>
          </w:tcPr>
          <w:p w14:paraId="4385EE3A" w14:textId="77777777" w:rsidR="00092171" w:rsidRPr="0089741D" w:rsidRDefault="00092171" w:rsidP="00433440">
            <w:pPr>
              <w:pStyle w:val="ListParagraph"/>
              <w:ind w:left="0"/>
              <w:jc w:val="left"/>
            </w:pPr>
          </w:p>
        </w:tc>
        <w:tc>
          <w:tcPr>
            <w:tcW w:w="2126" w:type="dxa"/>
          </w:tcPr>
          <w:p w14:paraId="041112AC" w14:textId="77777777" w:rsidR="00092171" w:rsidRPr="0089741D" w:rsidRDefault="00092171" w:rsidP="00433440">
            <w:pPr>
              <w:pStyle w:val="ListParagraph"/>
              <w:ind w:left="0"/>
              <w:jc w:val="left"/>
            </w:pPr>
          </w:p>
        </w:tc>
        <w:tc>
          <w:tcPr>
            <w:tcW w:w="3118" w:type="dxa"/>
          </w:tcPr>
          <w:p w14:paraId="1E05FDAB" w14:textId="77777777" w:rsidR="00092171" w:rsidRPr="0089741D" w:rsidRDefault="00092171" w:rsidP="00433440">
            <w:pPr>
              <w:pStyle w:val="ListParagraph"/>
              <w:ind w:left="0"/>
              <w:jc w:val="left"/>
            </w:pPr>
          </w:p>
        </w:tc>
        <w:tc>
          <w:tcPr>
            <w:tcW w:w="3402" w:type="dxa"/>
          </w:tcPr>
          <w:p w14:paraId="66E150E6" w14:textId="77777777" w:rsidR="00092171" w:rsidRPr="0089741D" w:rsidRDefault="00092171" w:rsidP="00433440">
            <w:pPr>
              <w:pStyle w:val="ListParagraph"/>
              <w:ind w:left="0"/>
              <w:jc w:val="left"/>
            </w:pPr>
          </w:p>
        </w:tc>
      </w:tr>
      <w:tr w:rsidR="00092171" w:rsidRPr="0089741D" w14:paraId="4AA7F6FA" w14:textId="77777777" w:rsidTr="00092171">
        <w:trPr>
          <w:trHeight w:val="575"/>
        </w:trPr>
        <w:tc>
          <w:tcPr>
            <w:tcW w:w="5382" w:type="dxa"/>
          </w:tcPr>
          <w:p w14:paraId="561B2E5F" w14:textId="77777777" w:rsidR="00092171" w:rsidRPr="0089741D" w:rsidRDefault="00092171" w:rsidP="00057A11">
            <w:pPr>
              <w:pStyle w:val="ListParagraph"/>
              <w:numPr>
                <w:ilvl w:val="0"/>
                <w:numId w:val="12"/>
              </w:numPr>
              <w:ind w:left="318" w:hanging="284"/>
              <w:jc w:val="left"/>
            </w:pPr>
            <w:r w:rsidRPr="0089741D">
              <w:t>Practitioners are inducted, trained and supervised to sensitively discuss the impacts of family violence on infants, children and young people with parents/carers and to determine the supports they require to enable ongoing safety and wellbeing needs.</w:t>
            </w:r>
          </w:p>
        </w:tc>
        <w:tc>
          <w:tcPr>
            <w:tcW w:w="1134" w:type="dxa"/>
          </w:tcPr>
          <w:p w14:paraId="6BCED989" w14:textId="77777777" w:rsidR="00092171" w:rsidRPr="0089741D" w:rsidRDefault="00092171" w:rsidP="00433440">
            <w:pPr>
              <w:pStyle w:val="ListParagraph"/>
              <w:ind w:left="0"/>
              <w:jc w:val="left"/>
            </w:pPr>
          </w:p>
        </w:tc>
        <w:tc>
          <w:tcPr>
            <w:tcW w:w="3118" w:type="dxa"/>
          </w:tcPr>
          <w:p w14:paraId="797C539A" w14:textId="77777777" w:rsidR="00092171" w:rsidRPr="0089741D" w:rsidRDefault="00092171" w:rsidP="00433440">
            <w:pPr>
              <w:pStyle w:val="ListParagraph"/>
              <w:ind w:left="0"/>
              <w:jc w:val="left"/>
            </w:pPr>
          </w:p>
        </w:tc>
        <w:tc>
          <w:tcPr>
            <w:tcW w:w="3261" w:type="dxa"/>
          </w:tcPr>
          <w:p w14:paraId="31A03E72" w14:textId="77777777" w:rsidR="00092171" w:rsidRPr="0089741D" w:rsidRDefault="00092171" w:rsidP="00433440">
            <w:pPr>
              <w:pStyle w:val="ListParagraph"/>
              <w:ind w:left="0"/>
              <w:jc w:val="left"/>
            </w:pPr>
          </w:p>
        </w:tc>
        <w:tc>
          <w:tcPr>
            <w:tcW w:w="2126" w:type="dxa"/>
          </w:tcPr>
          <w:p w14:paraId="6B886CDC" w14:textId="77777777" w:rsidR="00092171" w:rsidRPr="0089741D" w:rsidRDefault="00092171" w:rsidP="00433440">
            <w:pPr>
              <w:pStyle w:val="ListParagraph"/>
              <w:ind w:left="0"/>
              <w:jc w:val="left"/>
            </w:pPr>
          </w:p>
        </w:tc>
        <w:tc>
          <w:tcPr>
            <w:tcW w:w="3118" w:type="dxa"/>
          </w:tcPr>
          <w:p w14:paraId="6BC51EC4" w14:textId="77777777" w:rsidR="00092171" w:rsidRPr="0089741D" w:rsidRDefault="00092171" w:rsidP="00433440">
            <w:pPr>
              <w:pStyle w:val="ListParagraph"/>
              <w:ind w:left="0"/>
              <w:jc w:val="left"/>
            </w:pPr>
          </w:p>
        </w:tc>
        <w:tc>
          <w:tcPr>
            <w:tcW w:w="3402" w:type="dxa"/>
          </w:tcPr>
          <w:p w14:paraId="043A464F" w14:textId="77777777" w:rsidR="00092171" w:rsidRPr="0089741D" w:rsidRDefault="00092171" w:rsidP="00433440">
            <w:pPr>
              <w:pStyle w:val="ListParagraph"/>
              <w:ind w:left="0"/>
              <w:jc w:val="left"/>
            </w:pPr>
          </w:p>
        </w:tc>
      </w:tr>
      <w:tr w:rsidR="00092171" w:rsidRPr="0089741D" w14:paraId="5336C429" w14:textId="77777777" w:rsidTr="00DB13FF">
        <w:trPr>
          <w:trHeight w:val="1557"/>
        </w:trPr>
        <w:tc>
          <w:tcPr>
            <w:tcW w:w="5382" w:type="dxa"/>
          </w:tcPr>
          <w:p w14:paraId="28BAAA17" w14:textId="77777777" w:rsidR="00092171" w:rsidRPr="0089741D" w:rsidRDefault="00092171" w:rsidP="00057A11">
            <w:pPr>
              <w:pStyle w:val="ListParagraph"/>
              <w:numPr>
                <w:ilvl w:val="0"/>
                <w:numId w:val="12"/>
              </w:numPr>
              <w:ind w:left="318" w:hanging="284"/>
              <w:jc w:val="left"/>
            </w:pPr>
            <w:r w:rsidRPr="0089741D">
              <w:t>Practitioners are inducted, trained and supervised to respect and work collaboratively with diverse parenting styles, including with parents/carers from Aboriginal and Torres Strait Islander communities, culturally and linguistically diverse communities, Rainbow families, and parents/carers with disability.</w:t>
            </w:r>
          </w:p>
        </w:tc>
        <w:tc>
          <w:tcPr>
            <w:tcW w:w="1134" w:type="dxa"/>
          </w:tcPr>
          <w:p w14:paraId="1C1C02F5" w14:textId="77777777" w:rsidR="00092171" w:rsidRPr="0089741D" w:rsidRDefault="00092171" w:rsidP="00433440">
            <w:pPr>
              <w:pStyle w:val="ListParagraph"/>
              <w:ind w:left="0"/>
              <w:jc w:val="left"/>
            </w:pPr>
          </w:p>
        </w:tc>
        <w:tc>
          <w:tcPr>
            <w:tcW w:w="3118" w:type="dxa"/>
          </w:tcPr>
          <w:p w14:paraId="79AA393B" w14:textId="77777777" w:rsidR="00092171" w:rsidRPr="0089741D" w:rsidRDefault="00092171" w:rsidP="00433440">
            <w:pPr>
              <w:pStyle w:val="ListParagraph"/>
              <w:ind w:left="0"/>
              <w:jc w:val="left"/>
            </w:pPr>
          </w:p>
        </w:tc>
        <w:tc>
          <w:tcPr>
            <w:tcW w:w="3261" w:type="dxa"/>
          </w:tcPr>
          <w:p w14:paraId="12629089" w14:textId="77777777" w:rsidR="00092171" w:rsidRPr="0089741D" w:rsidRDefault="00092171" w:rsidP="00433440">
            <w:pPr>
              <w:pStyle w:val="ListParagraph"/>
              <w:ind w:left="0"/>
              <w:jc w:val="left"/>
            </w:pPr>
          </w:p>
        </w:tc>
        <w:tc>
          <w:tcPr>
            <w:tcW w:w="2126" w:type="dxa"/>
          </w:tcPr>
          <w:p w14:paraId="6A4F943C" w14:textId="77777777" w:rsidR="00092171" w:rsidRPr="0089741D" w:rsidRDefault="00092171" w:rsidP="00433440">
            <w:pPr>
              <w:pStyle w:val="ListParagraph"/>
              <w:ind w:left="0"/>
              <w:jc w:val="left"/>
            </w:pPr>
          </w:p>
        </w:tc>
        <w:tc>
          <w:tcPr>
            <w:tcW w:w="3118" w:type="dxa"/>
          </w:tcPr>
          <w:p w14:paraId="09F6B20B" w14:textId="77777777" w:rsidR="00092171" w:rsidRPr="0089741D" w:rsidRDefault="00092171" w:rsidP="00433440">
            <w:pPr>
              <w:pStyle w:val="ListParagraph"/>
              <w:ind w:left="0"/>
              <w:jc w:val="left"/>
            </w:pPr>
          </w:p>
        </w:tc>
        <w:tc>
          <w:tcPr>
            <w:tcW w:w="3402" w:type="dxa"/>
          </w:tcPr>
          <w:p w14:paraId="58190738" w14:textId="77777777" w:rsidR="00092171" w:rsidRPr="0089741D" w:rsidRDefault="00092171" w:rsidP="00433440">
            <w:pPr>
              <w:pStyle w:val="ListParagraph"/>
              <w:ind w:left="0"/>
              <w:jc w:val="left"/>
            </w:pPr>
          </w:p>
        </w:tc>
      </w:tr>
      <w:tr w:rsidR="00092171" w:rsidRPr="0089741D" w14:paraId="56AAF4BF" w14:textId="77777777" w:rsidTr="00DB13FF">
        <w:trPr>
          <w:trHeight w:val="850"/>
        </w:trPr>
        <w:tc>
          <w:tcPr>
            <w:tcW w:w="5382" w:type="dxa"/>
          </w:tcPr>
          <w:p w14:paraId="77104A68" w14:textId="77777777" w:rsidR="00092171" w:rsidRPr="0089741D" w:rsidRDefault="00092171" w:rsidP="00057A11">
            <w:pPr>
              <w:pStyle w:val="ListParagraph"/>
              <w:numPr>
                <w:ilvl w:val="0"/>
                <w:numId w:val="12"/>
              </w:numPr>
              <w:ind w:left="318" w:hanging="284"/>
              <w:jc w:val="left"/>
            </w:pPr>
            <w:r w:rsidRPr="0089741D">
              <w:t>Opportunities and referrals for parents/carers to restore parent/carer-child bonds and parenting capacity are provided.</w:t>
            </w:r>
          </w:p>
        </w:tc>
        <w:tc>
          <w:tcPr>
            <w:tcW w:w="1134" w:type="dxa"/>
          </w:tcPr>
          <w:p w14:paraId="47037F1A" w14:textId="77777777" w:rsidR="00092171" w:rsidRPr="0089741D" w:rsidRDefault="00092171" w:rsidP="00433440">
            <w:pPr>
              <w:pStyle w:val="ListParagraph"/>
              <w:ind w:left="0"/>
              <w:jc w:val="left"/>
            </w:pPr>
          </w:p>
        </w:tc>
        <w:tc>
          <w:tcPr>
            <w:tcW w:w="3118" w:type="dxa"/>
          </w:tcPr>
          <w:p w14:paraId="6C2FE415" w14:textId="77777777" w:rsidR="00092171" w:rsidRPr="0089741D" w:rsidRDefault="00092171" w:rsidP="00433440">
            <w:pPr>
              <w:pStyle w:val="ListParagraph"/>
              <w:ind w:left="0"/>
              <w:jc w:val="left"/>
            </w:pPr>
          </w:p>
        </w:tc>
        <w:tc>
          <w:tcPr>
            <w:tcW w:w="3261" w:type="dxa"/>
          </w:tcPr>
          <w:p w14:paraId="044DD917" w14:textId="77777777" w:rsidR="00092171" w:rsidRPr="0089741D" w:rsidRDefault="00092171" w:rsidP="00433440">
            <w:pPr>
              <w:pStyle w:val="ListParagraph"/>
              <w:ind w:left="0"/>
              <w:jc w:val="left"/>
            </w:pPr>
          </w:p>
        </w:tc>
        <w:tc>
          <w:tcPr>
            <w:tcW w:w="2126" w:type="dxa"/>
          </w:tcPr>
          <w:p w14:paraId="398E0AB7" w14:textId="77777777" w:rsidR="00092171" w:rsidRPr="0089741D" w:rsidRDefault="00092171" w:rsidP="00433440">
            <w:pPr>
              <w:pStyle w:val="ListParagraph"/>
              <w:ind w:left="0"/>
              <w:jc w:val="left"/>
            </w:pPr>
          </w:p>
        </w:tc>
        <w:tc>
          <w:tcPr>
            <w:tcW w:w="3118" w:type="dxa"/>
          </w:tcPr>
          <w:p w14:paraId="193DF3A3" w14:textId="77777777" w:rsidR="00092171" w:rsidRPr="0089741D" w:rsidRDefault="00092171" w:rsidP="00433440">
            <w:pPr>
              <w:pStyle w:val="ListParagraph"/>
              <w:ind w:left="0"/>
              <w:jc w:val="left"/>
            </w:pPr>
          </w:p>
        </w:tc>
        <w:tc>
          <w:tcPr>
            <w:tcW w:w="3402" w:type="dxa"/>
          </w:tcPr>
          <w:p w14:paraId="78B86FEE" w14:textId="77777777" w:rsidR="00092171" w:rsidRPr="0089741D" w:rsidRDefault="00092171" w:rsidP="00433440">
            <w:pPr>
              <w:pStyle w:val="ListParagraph"/>
              <w:ind w:left="0"/>
              <w:jc w:val="left"/>
            </w:pPr>
          </w:p>
        </w:tc>
      </w:tr>
      <w:tr w:rsidR="00092171" w:rsidRPr="0089741D" w14:paraId="7ACA3E0D" w14:textId="77777777" w:rsidTr="00DB13FF">
        <w:trPr>
          <w:trHeight w:val="720"/>
        </w:trPr>
        <w:tc>
          <w:tcPr>
            <w:tcW w:w="5382" w:type="dxa"/>
          </w:tcPr>
          <w:p w14:paraId="137E6F65" w14:textId="34A6FC0E" w:rsidR="00092171" w:rsidRPr="004C66D8" w:rsidRDefault="00057A11" w:rsidP="00057A11">
            <w:pPr>
              <w:pStyle w:val="ListParagraph"/>
              <w:numPr>
                <w:ilvl w:val="0"/>
                <w:numId w:val="12"/>
              </w:numPr>
              <w:ind w:left="318" w:hanging="284"/>
              <w:jc w:val="left"/>
            </w:pPr>
            <w:r>
              <w:t>Processes are in place to support and advocate with victim-survivors involved in the family law system to promote children’s rights to be safe from family violence.</w:t>
            </w:r>
          </w:p>
        </w:tc>
        <w:tc>
          <w:tcPr>
            <w:tcW w:w="1134" w:type="dxa"/>
          </w:tcPr>
          <w:p w14:paraId="74843D2C" w14:textId="77777777" w:rsidR="00092171" w:rsidRPr="0089741D" w:rsidRDefault="00092171" w:rsidP="00433440">
            <w:pPr>
              <w:pStyle w:val="ListParagraph"/>
              <w:ind w:left="0"/>
              <w:jc w:val="left"/>
            </w:pPr>
          </w:p>
        </w:tc>
        <w:tc>
          <w:tcPr>
            <w:tcW w:w="3118" w:type="dxa"/>
          </w:tcPr>
          <w:p w14:paraId="102BA5C4" w14:textId="77777777" w:rsidR="00092171" w:rsidRPr="0089741D" w:rsidRDefault="00092171" w:rsidP="00433440">
            <w:pPr>
              <w:pStyle w:val="ListParagraph"/>
              <w:ind w:left="0"/>
              <w:jc w:val="left"/>
            </w:pPr>
          </w:p>
        </w:tc>
        <w:tc>
          <w:tcPr>
            <w:tcW w:w="3261" w:type="dxa"/>
          </w:tcPr>
          <w:p w14:paraId="75830F84" w14:textId="77777777" w:rsidR="00092171" w:rsidRPr="0089741D" w:rsidRDefault="00092171" w:rsidP="00433440">
            <w:pPr>
              <w:pStyle w:val="ListParagraph"/>
              <w:ind w:left="0"/>
              <w:jc w:val="left"/>
            </w:pPr>
          </w:p>
        </w:tc>
        <w:tc>
          <w:tcPr>
            <w:tcW w:w="2126" w:type="dxa"/>
          </w:tcPr>
          <w:p w14:paraId="3FF72773" w14:textId="77777777" w:rsidR="00092171" w:rsidRPr="0089741D" w:rsidRDefault="00092171" w:rsidP="00433440">
            <w:pPr>
              <w:pStyle w:val="ListParagraph"/>
              <w:ind w:left="0"/>
              <w:jc w:val="left"/>
            </w:pPr>
          </w:p>
        </w:tc>
        <w:tc>
          <w:tcPr>
            <w:tcW w:w="3118" w:type="dxa"/>
          </w:tcPr>
          <w:p w14:paraId="07B14138" w14:textId="77777777" w:rsidR="00092171" w:rsidRPr="0089741D" w:rsidRDefault="00092171" w:rsidP="00433440">
            <w:pPr>
              <w:pStyle w:val="ListParagraph"/>
              <w:ind w:left="0"/>
              <w:jc w:val="left"/>
            </w:pPr>
          </w:p>
        </w:tc>
        <w:tc>
          <w:tcPr>
            <w:tcW w:w="3402" w:type="dxa"/>
          </w:tcPr>
          <w:p w14:paraId="361FBE09" w14:textId="77777777" w:rsidR="00092171" w:rsidRPr="0089741D" w:rsidRDefault="00092171" w:rsidP="00433440">
            <w:pPr>
              <w:pStyle w:val="ListParagraph"/>
              <w:ind w:left="0"/>
              <w:jc w:val="left"/>
            </w:pPr>
          </w:p>
        </w:tc>
      </w:tr>
    </w:tbl>
    <w:p w14:paraId="75440899" w14:textId="14174BDC" w:rsidR="00092171" w:rsidRDefault="00092171" w:rsidP="00092171">
      <w:pPr>
        <w:jc w:val="left"/>
      </w:pPr>
    </w:p>
    <w:p w14:paraId="5CC5E5AD" w14:textId="2F0904E0" w:rsidR="00057A11" w:rsidRDefault="00057A11" w:rsidP="00092171">
      <w:pPr>
        <w:jc w:val="left"/>
      </w:pPr>
    </w:p>
    <w:p w14:paraId="080CD5DA" w14:textId="6F74C2D1" w:rsidR="00057A11" w:rsidRDefault="00057A11" w:rsidP="00092171">
      <w:pPr>
        <w:jc w:val="left"/>
      </w:pPr>
    </w:p>
    <w:p w14:paraId="6D62B5B9" w14:textId="7EE26653" w:rsidR="00057A11" w:rsidRDefault="00057A11" w:rsidP="00092171">
      <w:pPr>
        <w:jc w:val="left"/>
      </w:pPr>
    </w:p>
    <w:p w14:paraId="4E7C828D" w14:textId="19A93391" w:rsidR="00057A11" w:rsidRDefault="00057A11" w:rsidP="00092171">
      <w:pPr>
        <w:jc w:val="left"/>
      </w:pPr>
    </w:p>
    <w:p w14:paraId="0B2BFB13" w14:textId="314BC0A0" w:rsidR="00057A11" w:rsidRDefault="00057A11" w:rsidP="00092171">
      <w:pPr>
        <w:jc w:val="left"/>
      </w:pPr>
    </w:p>
    <w:p w14:paraId="422980DC" w14:textId="4D413D61" w:rsidR="00057A11" w:rsidRDefault="00057A11" w:rsidP="00092171">
      <w:pPr>
        <w:jc w:val="left"/>
      </w:pPr>
    </w:p>
    <w:p w14:paraId="5ADC9AB0" w14:textId="5C2733B8" w:rsidR="00057A11" w:rsidRDefault="00057A11" w:rsidP="00092171">
      <w:pPr>
        <w:jc w:val="left"/>
      </w:pPr>
    </w:p>
    <w:p w14:paraId="66F7F541" w14:textId="5188AF88" w:rsidR="00057A11" w:rsidRDefault="00057A11" w:rsidP="00092171">
      <w:pPr>
        <w:jc w:val="left"/>
      </w:pPr>
    </w:p>
    <w:p w14:paraId="03C2C3FC" w14:textId="61E54A46" w:rsidR="00057A11" w:rsidRDefault="00057A11" w:rsidP="00092171">
      <w:pPr>
        <w:jc w:val="left"/>
      </w:pPr>
    </w:p>
    <w:p w14:paraId="345F5452" w14:textId="48328F0D" w:rsidR="00057A11" w:rsidRDefault="00057A11" w:rsidP="00092171">
      <w:pPr>
        <w:jc w:val="left"/>
      </w:pPr>
    </w:p>
    <w:p w14:paraId="56A6C794" w14:textId="57435B25" w:rsidR="00057A11" w:rsidRDefault="00057A11" w:rsidP="00092171">
      <w:pPr>
        <w:jc w:val="left"/>
      </w:pPr>
    </w:p>
    <w:p w14:paraId="4E0C873D" w14:textId="51ACFF1C" w:rsidR="00057A11" w:rsidRDefault="00057A11" w:rsidP="00092171">
      <w:pPr>
        <w:jc w:val="left"/>
      </w:pPr>
    </w:p>
    <w:p w14:paraId="74C3A7BD" w14:textId="1107044F" w:rsidR="00057A11" w:rsidRDefault="00057A11" w:rsidP="00092171">
      <w:pPr>
        <w:jc w:val="left"/>
      </w:pPr>
    </w:p>
    <w:p w14:paraId="553D0DE9" w14:textId="224B7ADD" w:rsidR="00057A11" w:rsidRDefault="00057A11" w:rsidP="00092171">
      <w:pPr>
        <w:jc w:val="left"/>
      </w:pPr>
    </w:p>
    <w:p w14:paraId="44B5343F" w14:textId="76A2250F" w:rsidR="00057A11" w:rsidRDefault="00057A11" w:rsidP="00092171">
      <w:pPr>
        <w:jc w:val="left"/>
      </w:pPr>
    </w:p>
    <w:p w14:paraId="457497ED" w14:textId="24F53318" w:rsidR="00057A11" w:rsidRDefault="00057A11" w:rsidP="00092171">
      <w:pPr>
        <w:jc w:val="left"/>
      </w:pPr>
    </w:p>
    <w:p w14:paraId="6DB5EAF2" w14:textId="77032DD6" w:rsidR="00057A11" w:rsidRDefault="00057A11" w:rsidP="00092171">
      <w:pPr>
        <w:jc w:val="left"/>
      </w:pPr>
    </w:p>
    <w:p w14:paraId="5002688C" w14:textId="07719BCE" w:rsidR="00057A11" w:rsidRDefault="00057A11" w:rsidP="00092171">
      <w:pPr>
        <w:jc w:val="left"/>
      </w:pPr>
    </w:p>
    <w:p w14:paraId="2C72D241" w14:textId="4BF8C5BA" w:rsidR="00057A11" w:rsidRDefault="00057A11" w:rsidP="00092171">
      <w:pPr>
        <w:jc w:val="left"/>
      </w:pPr>
    </w:p>
    <w:p w14:paraId="21C660AA" w14:textId="52772968" w:rsidR="00057A11" w:rsidRDefault="00057A11" w:rsidP="00092171">
      <w:pPr>
        <w:jc w:val="left"/>
      </w:pPr>
    </w:p>
    <w:p w14:paraId="407C57D8" w14:textId="77777777" w:rsidR="00057A11" w:rsidRDefault="00057A11" w:rsidP="00092171">
      <w:pPr>
        <w:jc w:val="left"/>
      </w:pPr>
    </w:p>
    <w:p w14:paraId="7A3BB64C" w14:textId="77777777" w:rsidR="00057A11" w:rsidRDefault="00057A11" w:rsidP="00057A11">
      <w:pPr>
        <w:pStyle w:val="Heading2"/>
      </w:pPr>
      <w:r w:rsidRPr="0089741D">
        <w:lastRenderedPageBreak/>
        <w:t>Principle 7: Aboriginal Self-Determination</w:t>
      </w:r>
    </w:p>
    <w:p w14:paraId="55676287" w14:textId="63873886" w:rsidR="00057A11" w:rsidRDefault="00057A11" w:rsidP="00057A11">
      <w:pPr>
        <w:pStyle w:val="Heading3"/>
      </w:pPr>
      <w:r>
        <w:t xml:space="preserve">Standard </w:t>
      </w:r>
      <w:r w:rsidRPr="0089741D">
        <w:t xml:space="preserve">7.1 The service demonstrates respect for Aboriginal people and culture.  </w:t>
      </w:r>
    </w:p>
    <w:p w14:paraId="4B86DCF0" w14:textId="77777777" w:rsidR="00057A11" w:rsidRPr="0089741D" w:rsidRDefault="00057A11" w:rsidP="00057A11">
      <w:r w:rsidRPr="0089741D">
        <w:t xml:space="preserve">HSS: (3) Wellbeing; (4) Participation; (5) Governance and management </w:t>
      </w:r>
    </w:p>
    <w:p w14:paraId="755EA903" w14:textId="6D4E722A" w:rsidR="00057A11" w:rsidRDefault="00057A11" w:rsidP="00057A11">
      <w:pPr>
        <w:jc w:val="left"/>
      </w:pPr>
      <w:r w:rsidRPr="0089741D">
        <w:t>QGF</w:t>
      </w:r>
      <w:r>
        <w:t xml:space="preserve"> domains</w:t>
      </w:r>
      <w:r w:rsidRPr="0089741D">
        <w:t>:</w:t>
      </w:r>
      <w:r>
        <w:t xml:space="preserve"> Client and family partnerships; Workforce</w:t>
      </w:r>
    </w:p>
    <w:p w14:paraId="757EA26D" w14:textId="162A2277" w:rsidR="00057A11" w:rsidRDefault="00057A11" w:rsidP="00057A11">
      <w:pPr>
        <w:jc w:val="left"/>
      </w:pPr>
    </w:p>
    <w:tbl>
      <w:tblPr>
        <w:tblStyle w:val="TableGridLight"/>
        <w:tblW w:w="21541" w:type="dxa"/>
        <w:tblLook w:val="0020" w:firstRow="1" w:lastRow="0" w:firstColumn="0" w:lastColumn="0" w:noHBand="0" w:noVBand="0"/>
      </w:tblPr>
      <w:tblGrid>
        <w:gridCol w:w="5382"/>
        <w:gridCol w:w="1134"/>
        <w:gridCol w:w="3118"/>
        <w:gridCol w:w="3261"/>
        <w:gridCol w:w="2126"/>
        <w:gridCol w:w="3118"/>
        <w:gridCol w:w="3402"/>
      </w:tblGrid>
      <w:tr w:rsidR="00057A11" w:rsidRPr="0089741D" w14:paraId="433133F4" w14:textId="77777777" w:rsidTr="00DB13FF">
        <w:trPr>
          <w:trHeight w:val="70"/>
        </w:trPr>
        <w:tc>
          <w:tcPr>
            <w:tcW w:w="5382" w:type="dxa"/>
            <w:shd w:val="clear" w:color="auto" w:fill="F2F2F2" w:themeFill="background1" w:themeFillShade="F2"/>
          </w:tcPr>
          <w:p w14:paraId="603EAD29" w14:textId="77777777" w:rsidR="00057A11" w:rsidRPr="0089741D" w:rsidRDefault="00057A11" w:rsidP="00DB13FF">
            <w:r w:rsidRPr="0089741D">
              <w:t>INDICATORS</w:t>
            </w:r>
          </w:p>
        </w:tc>
        <w:tc>
          <w:tcPr>
            <w:tcW w:w="1134" w:type="dxa"/>
            <w:shd w:val="clear" w:color="auto" w:fill="F2F2F2" w:themeFill="background1" w:themeFillShade="F2"/>
          </w:tcPr>
          <w:p w14:paraId="5F85F867" w14:textId="77777777" w:rsidR="00057A11" w:rsidRPr="0089741D" w:rsidRDefault="00057A11" w:rsidP="00DB13FF">
            <w:r w:rsidRPr="0089741D">
              <w:t>RATING</w:t>
            </w:r>
          </w:p>
        </w:tc>
        <w:tc>
          <w:tcPr>
            <w:tcW w:w="3118" w:type="dxa"/>
            <w:shd w:val="clear" w:color="auto" w:fill="F2F2F2" w:themeFill="background1" w:themeFillShade="F2"/>
          </w:tcPr>
          <w:p w14:paraId="31976095" w14:textId="77777777" w:rsidR="00057A11" w:rsidRPr="0089741D" w:rsidRDefault="00057A11" w:rsidP="00DB13FF">
            <w:r w:rsidRPr="0089741D">
              <w:t>EVIDENCE</w:t>
            </w:r>
          </w:p>
        </w:tc>
        <w:tc>
          <w:tcPr>
            <w:tcW w:w="3261" w:type="dxa"/>
            <w:shd w:val="clear" w:color="auto" w:fill="F2F2F2" w:themeFill="background1" w:themeFillShade="F2"/>
          </w:tcPr>
          <w:p w14:paraId="176113D1" w14:textId="77777777" w:rsidR="00057A11" w:rsidRPr="0089741D" w:rsidRDefault="00057A11" w:rsidP="00DB13FF">
            <w:r w:rsidRPr="0089741D">
              <w:t xml:space="preserve">IMPROVEMENT ACTIONS </w:t>
            </w:r>
          </w:p>
        </w:tc>
        <w:tc>
          <w:tcPr>
            <w:tcW w:w="2126" w:type="dxa"/>
            <w:shd w:val="clear" w:color="auto" w:fill="F2F2F2" w:themeFill="background1" w:themeFillShade="F2"/>
          </w:tcPr>
          <w:p w14:paraId="0241EAAF" w14:textId="77777777" w:rsidR="00057A11" w:rsidRPr="0089741D" w:rsidRDefault="00057A11" w:rsidP="00DB13FF">
            <w:r w:rsidRPr="0089741D">
              <w:t>TIMEFRAME</w:t>
            </w:r>
          </w:p>
        </w:tc>
        <w:tc>
          <w:tcPr>
            <w:tcW w:w="3118" w:type="dxa"/>
            <w:shd w:val="clear" w:color="auto" w:fill="F2F2F2" w:themeFill="background1" w:themeFillShade="F2"/>
          </w:tcPr>
          <w:p w14:paraId="35D4E011" w14:textId="77777777" w:rsidR="00057A11" w:rsidRPr="0089741D" w:rsidRDefault="00057A11" w:rsidP="00DB13FF">
            <w:r w:rsidRPr="0089741D">
              <w:t>PERSON(S) RESPONSIBLE</w:t>
            </w:r>
          </w:p>
        </w:tc>
        <w:tc>
          <w:tcPr>
            <w:tcW w:w="3402" w:type="dxa"/>
            <w:shd w:val="clear" w:color="auto" w:fill="F2F2F2" w:themeFill="background1" w:themeFillShade="F2"/>
          </w:tcPr>
          <w:p w14:paraId="42A4B143" w14:textId="77777777" w:rsidR="00057A11" w:rsidRPr="0089741D" w:rsidRDefault="00057A11" w:rsidP="00DB13FF">
            <w:r w:rsidRPr="0089741D">
              <w:t>OUTCOME</w:t>
            </w:r>
          </w:p>
        </w:tc>
      </w:tr>
      <w:tr w:rsidR="00057A11" w:rsidRPr="0089741D" w14:paraId="6885903E" w14:textId="77777777" w:rsidTr="00DB13FF">
        <w:trPr>
          <w:trHeight w:val="307"/>
        </w:trPr>
        <w:tc>
          <w:tcPr>
            <w:tcW w:w="5382" w:type="dxa"/>
          </w:tcPr>
          <w:p w14:paraId="0D0AF696" w14:textId="1AC0A478" w:rsidR="00057A11" w:rsidRDefault="00057A11" w:rsidP="00057A11">
            <w:pPr>
              <w:pStyle w:val="ListParagraph"/>
              <w:numPr>
                <w:ilvl w:val="0"/>
                <w:numId w:val="13"/>
              </w:numPr>
              <w:jc w:val="left"/>
            </w:pPr>
            <w:r>
              <w:t>The self-determination rights of Aboriginal and Torres Strait Islander peoples is acknowledged and made</w:t>
            </w:r>
          </w:p>
          <w:p w14:paraId="11C8F946" w14:textId="6B724E88" w:rsidR="00057A11" w:rsidRDefault="00057A11" w:rsidP="00057A11">
            <w:pPr>
              <w:pStyle w:val="ListParagraph"/>
              <w:ind w:left="360"/>
              <w:jc w:val="left"/>
            </w:pPr>
            <w:r>
              <w:t xml:space="preserve"> visible in the service environment, communication</w:t>
            </w:r>
          </w:p>
          <w:p w14:paraId="51A2DE99" w14:textId="1B3BA76D" w:rsidR="00057A11" w:rsidRPr="0089741D" w:rsidRDefault="00057A11" w:rsidP="00057A11">
            <w:pPr>
              <w:pStyle w:val="ListParagraph"/>
              <w:ind w:left="360"/>
              <w:jc w:val="left"/>
            </w:pPr>
            <w:r>
              <w:t xml:space="preserve"> materials and public engagements.</w:t>
            </w:r>
          </w:p>
        </w:tc>
        <w:tc>
          <w:tcPr>
            <w:tcW w:w="1134" w:type="dxa"/>
          </w:tcPr>
          <w:p w14:paraId="70426DF1" w14:textId="77777777" w:rsidR="00057A11" w:rsidRPr="0089741D" w:rsidRDefault="00057A11" w:rsidP="00433440">
            <w:pPr>
              <w:pStyle w:val="ListParagraph"/>
              <w:ind w:left="0"/>
            </w:pPr>
          </w:p>
        </w:tc>
        <w:tc>
          <w:tcPr>
            <w:tcW w:w="3118" w:type="dxa"/>
          </w:tcPr>
          <w:p w14:paraId="3F80B900" w14:textId="77777777" w:rsidR="00057A11" w:rsidRPr="0089741D" w:rsidRDefault="00057A11" w:rsidP="00433440">
            <w:pPr>
              <w:pStyle w:val="ListParagraph"/>
              <w:ind w:left="0"/>
            </w:pPr>
          </w:p>
        </w:tc>
        <w:tc>
          <w:tcPr>
            <w:tcW w:w="3261" w:type="dxa"/>
          </w:tcPr>
          <w:p w14:paraId="484617FB" w14:textId="77777777" w:rsidR="00057A11" w:rsidRPr="0089741D" w:rsidRDefault="00057A11" w:rsidP="00433440">
            <w:pPr>
              <w:pStyle w:val="ListParagraph"/>
              <w:ind w:left="0"/>
            </w:pPr>
          </w:p>
        </w:tc>
        <w:tc>
          <w:tcPr>
            <w:tcW w:w="2126" w:type="dxa"/>
          </w:tcPr>
          <w:p w14:paraId="4412D000" w14:textId="77777777" w:rsidR="00057A11" w:rsidRPr="0089741D" w:rsidRDefault="00057A11" w:rsidP="00433440">
            <w:pPr>
              <w:pStyle w:val="ListParagraph"/>
              <w:ind w:left="33"/>
            </w:pPr>
          </w:p>
        </w:tc>
        <w:tc>
          <w:tcPr>
            <w:tcW w:w="3118" w:type="dxa"/>
          </w:tcPr>
          <w:p w14:paraId="20C26558" w14:textId="77777777" w:rsidR="00057A11" w:rsidRPr="0089741D" w:rsidRDefault="00057A11" w:rsidP="00433440">
            <w:pPr>
              <w:pStyle w:val="ListParagraph"/>
              <w:ind w:left="0"/>
            </w:pPr>
          </w:p>
        </w:tc>
        <w:tc>
          <w:tcPr>
            <w:tcW w:w="3402" w:type="dxa"/>
          </w:tcPr>
          <w:p w14:paraId="5CB6B689" w14:textId="77777777" w:rsidR="00057A11" w:rsidRPr="0089741D" w:rsidRDefault="00057A11" w:rsidP="00433440">
            <w:pPr>
              <w:pStyle w:val="ListParagraph"/>
              <w:ind w:left="0"/>
            </w:pPr>
          </w:p>
        </w:tc>
      </w:tr>
      <w:tr w:rsidR="00057A11" w:rsidRPr="0089741D" w14:paraId="2F76ECA7" w14:textId="77777777" w:rsidTr="00DB13FF">
        <w:trPr>
          <w:trHeight w:val="511"/>
        </w:trPr>
        <w:tc>
          <w:tcPr>
            <w:tcW w:w="5382" w:type="dxa"/>
          </w:tcPr>
          <w:p w14:paraId="66FB78A2" w14:textId="2F2515B0" w:rsidR="00057A11" w:rsidRPr="0089741D" w:rsidRDefault="00057A11" w:rsidP="00057A11">
            <w:pPr>
              <w:pStyle w:val="ListParagraph"/>
              <w:numPr>
                <w:ilvl w:val="0"/>
                <w:numId w:val="13"/>
              </w:numPr>
              <w:jc w:val="left"/>
            </w:pPr>
            <w:r>
              <w:t xml:space="preserve">Supporting the goals of </w:t>
            </w:r>
            <w:r w:rsidRPr="00057A11">
              <w:rPr>
                <w:i/>
                <w:iCs/>
              </w:rPr>
              <w:t>Dhelk Dja: Safe Our Way Strong Culture, Strong Peoples, Strong Families (the Aboriginal 10 Year Family Violence Agreement 2018-2028)</w:t>
            </w:r>
            <w:r>
              <w:t xml:space="preserve"> is incorporated into service design and strategic planning.</w:t>
            </w:r>
          </w:p>
        </w:tc>
        <w:tc>
          <w:tcPr>
            <w:tcW w:w="1134" w:type="dxa"/>
          </w:tcPr>
          <w:p w14:paraId="584FBE16" w14:textId="77777777" w:rsidR="00057A11" w:rsidRPr="0089741D" w:rsidRDefault="00057A11" w:rsidP="00433440">
            <w:pPr>
              <w:pStyle w:val="ListParagraph"/>
              <w:ind w:left="0"/>
            </w:pPr>
          </w:p>
        </w:tc>
        <w:tc>
          <w:tcPr>
            <w:tcW w:w="3118" w:type="dxa"/>
          </w:tcPr>
          <w:p w14:paraId="063C26AA" w14:textId="77777777" w:rsidR="00057A11" w:rsidRPr="0089741D" w:rsidRDefault="00057A11" w:rsidP="00433440">
            <w:pPr>
              <w:pStyle w:val="ListParagraph"/>
              <w:ind w:left="0"/>
            </w:pPr>
          </w:p>
        </w:tc>
        <w:tc>
          <w:tcPr>
            <w:tcW w:w="3261" w:type="dxa"/>
          </w:tcPr>
          <w:p w14:paraId="4CA404F9" w14:textId="77777777" w:rsidR="00057A11" w:rsidRPr="0089741D" w:rsidRDefault="00057A11" w:rsidP="00433440">
            <w:pPr>
              <w:pStyle w:val="ListParagraph"/>
              <w:ind w:left="0"/>
            </w:pPr>
          </w:p>
        </w:tc>
        <w:tc>
          <w:tcPr>
            <w:tcW w:w="2126" w:type="dxa"/>
          </w:tcPr>
          <w:p w14:paraId="4B5FADA8" w14:textId="77777777" w:rsidR="00057A11" w:rsidRPr="0089741D" w:rsidRDefault="00057A11" w:rsidP="00433440">
            <w:pPr>
              <w:pStyle w:val="ListParagraph"/>
              <w:ind w:left="33"/>
            </w:pPr>
          </w:p>
        </w:tc>
        <w:tc>
          <w:tcPr>
            <w:tcW w:w="3118" w:type="dxa"/>
          </w:tcPr>
          <w:p w14:paraId="3095E0C5" w14:textId="77777777" w:rsidR="00057A11" w:rsidRPr="0089741D" w:rsidRDefault="00057A11" w:rsidP="00433440">
            <w:pPr>
              <w:pStyle w:val="ListParagraph"/>
              <w:ind w:left="0"/>
            </w:pPr>
          </w:p>
        </w:tc>
        <w:tc>
          <w:tcPr>
            <w:tcW w:w="3402" w:type="dxa"/>
          </w:tcPr>
          <w:p w14:paraId="00DCBE23" w14:textId="77777777" w:rsidR="00057A11" w:rsidRPr="0089741D" w:rsidRDefault="00057A11" w:rsidP="00433440">
            <w:pPr>
              <w:pStyle w:val="ListParagraph"/>
              <w:ind w:left="0"/>
            </w:pPr>
          </w:p>
        </w:tc>
      </w:tr>
      <w:tr w:rsidR="00057A11" w:rsidRPr="0089741D" w14:paraId="7BAF493E" w14:textId="77777777" w:rsidTr="00DB13FF">
        <w:trPr>
          <w:trHeight w:val="965"/>
        </w:trPr>
        <w:tc>
          <w:tcPr>
            <w:tcW w:w="5382" w:type="dxa"/>
          </w:tcPr>
          <w:p w14:paraId="00619565" w14:textId="77777777" w:rsidR="00057A11" w:rsidRPr="0089741D" w:rsidRDefault="00057A11" w:rsidP="00DB13FF">
            <w:pPr>
              <w:pStyle w:val="ListParagraph"/>
              <w:numPr>
                <w:ilvl w:val="0"/>
                <w:numId w:val="13"/>
              </w:numPr>
              <w:jc w:val="left"/>
            </w:pPr>
            <w:r w:rsidRPr="0089741D">
              <w:t>Capability to provide culturally safe services for Aboriginal people is regularly reviewed and addressed, using guidance provided by Aboriginal organisations and resources.</w:t>
            </w:r>
          </w:p>
        </w:tc>
        <w:tc>
          <w:tcPr>
            <w:tcW w:w="1134" w:type="dxa"/>
          </w:tcPr>
          <w:p w14:paraId="3AACF0B0" w14:textId="77777777" w:rsidR="00057A11" w:rsidRPr="0089741D" w:rsidRDefault="00057A11" w:rsidP="00433440">
            <w:pPr>
              <w:pStyle w:val="ListParagraph"/>
              <w:ind w:left="0"/>
            </w:pPr>
          </w:p>
        </w:tc>
        <w:tc>
          <w:tcPr>
            <w:tcW w:w="3118" w:type="dxa"/>
          </w:tcPr>
          <w:p w14:paraId="179A597C" w14:textId="77777777" w:rsidR="00057A11" w:rsidRPr="0089741D" w:rsidRDefault="00057A11" w:rsidP="00433440">
            <w:pPr>
              <w:pStyle w:val="ListParagraph"/>
              <w:ind w:left="0"/>
            </w:pPr>
          </w:p>
        </w:tc>
        <w:tc>
          <w:tcPr>
            <w:tcW w:w="3261" w:type="dxa"/>
          </w:tcPr>
          <w:p w14:paraId="1767A372" w14:textId="77777777" w:rsidR="00057A11" w:rsidRPr="0089741D" w:rsidRDefault="00057A11" w:rsidP="00433440">
            <w:pPr>
              <w:pStyle w:val="ListParagraph"/>
              <w:ind w:left="0"/>
            </w:pPr>
          </w:p>
        </w:tc>
        <w:tc>
          <w:tcPr>
            <w:tcW w:w="2126" w:type="dxa"/>
          </w:tcPr>
          <w:p w14:paraId="7DF60522" w14:textId="77777777" w:rsidR="00057A11" w:rsidRPr="0089741D" w:rsidRDefault="00057A11" w:rsidP="00433440">
            <w:pPr>
              <w:pStyle w:val="ListParagraph"/>
              <w:ind w:left="33"/>
            </w:pPr>
          </w:p>
        </w:tc>
        <w:tc>
          <w:tcPr>
            <w:tcW w:w="3118" w:type="dxa"/>
          </w:tcPr>
          <w:p w14:paraId="622FD672" w14:textId="77777777" w:rsidR="00057A11" w:rsidRPr="0089741D" w:rsidRDefault="00057A11" w:rsidP="00433440">
            <w:pPr>
              <w:pStyle w:val="ListParagraph"/>
              <w:ind w:left="0"/>
            </w:pPr>
          </w:p>
        </w:tc>
        <w:tc>
          <w:tcPr>
            <w:tcW w:w="3402" w:type="dxa"/>
          </w:tcPr>
          <w:p w14:paraId="6042BF3C" w14:textId="77777777" w:rsidR="00057A11" w:rsidRPr="0089741D" w:rsidRDefault="00057A11" w:rsidP="00433440">
            <w:pPr>
              <w:pStyle w:val="ListParagraph"/>
              <w:ind w:left="0"/>
            </w:pPr>
          </w:p>
        </w:tc>
      </w:tr>
      <w:tr w:rsidR="00057A11" w:rsidRPr="0089741D" w14:paraId="3A3DD78A" w14:textId="77777777" w:rsidTr="00DB13FF">
        <w:trPr>
          <w:trHeight w:val="1369"/>
        </w:trPr>
        <w:tc>
          <w:tcPr>
            <w:tcW w:w="5382" w:type="dxa"/>
          </w:tcPr>
          <w:p w14:paraId="0E99D7AC" w14:textId="77777777" w:rsidR="00057A11" w:rsidRPr="00A7656F" w:rsidRDefault="00057A11" w:rsidP="00DB13FF">
            <w:pPr>
              <w:pStyle w:val="ListParagraph"/>
              <w:numPr>
                <w:ilvl w:val="0"/>
                <w:numId w:val="13"/>
              </w:numPr>
              <w:jc w:val="left"/>
            </w:pPr>
            <w:r w:rsidRPr="0089741D">
              <w:t>Professional development includes cultural safety training provided by Aboriginal organisations that addresses the intersection between family violence, and the historic and ongoing impacts of colonisation on Aboriginal families and communities.</w:t>
            </w:r>
          </w:p>
        </w:tc>
        <w:tc>
          <w:tcPr>
            <w:tcW w:w="1134" w:type="dxa"/>
          </w:tcPr>
          <w:p w14:paraId="3EF3969C" w14:textId="77777777" w:rsidR="00057A11" w:rsidRPr="0089741D" w:rsidRDefault="00057A11" w:rsidP="00433440">
            <w:pPr>
              <w:pStyle w:val="ListParagraph"/>
              <w:ind w:left="0"/>
            </w:pPr>
          </w:p>
        </w:tc>
        <w:tc>
          <w:tcPr>
            <w:tcW w:w="3118" w:type="dxa"/>
          </w:tcPr>
          <w:p w14:paraId="21E5B032" w14:textId="77777777" w:rsidR="00057A11" w:rsidRPr="0089741D" w:rsidRDefault="00057A11" w:rsidP="00433440">
            <w:pPr>
              <w:pStyle w:val="ListParagraph"/>
              <w:ind w:left="0"/>
            </w:pPr>
          </w:p>
        </w:tc>
        <w:tc>
          <w:tcPr>
            <w:tcW w:w="3261" w:type="dxa"/>
          </w:tcPr>
          <w:p w14:paraId="03A5399F" w14:textId="77777777" w:rsidR="00057A11" w:rsidRPr="0089741D" w:rsidRDefault="00057A11" w:rsidP="00433440">
            <w:pPr>
              <w:pStyle w:val="ListParagraph"/>
              <w:ind w:left="0"/>
            </w:pPr>
          </w:p>
        </w:tc>
        <w:tc>
          <w:tcPr>
            <w:tcW w:w="2126" w:type="dxa"/>
          </w:tcPr>
          <w:p w14:paraId="74A038DD" w14:textId="77777777" w:rsidR="00057A11" w:rsidRPr="0089741D" w:rsidRDefault="00057A11" w:rsidP="00433440">
            <w:pPr>
              <w:pStyle w:val="ListParagraph"/>
              <w:ind w:left="33"/>
            </w:pPr>
          </w:p>
        </w:tc>
        <w:tc>
          <w:tcPr>
            <w:tcW w:w="3118" w:type="dxa"/>
          </w:tcPr>
          <w:p w14:paraId="41B267A7" w14:textId="77777777" w:rsidR="00057A11" w:rsidRPr="0089741D" w:rsidRDefault="00057A11" w:rsidP="00433440">
            <w:pPr>
              <w:pStyle w:val="ListParagraph"/>
              <w:ind w:left="0"/>
            </w:pPr>
          </w:p>
        </w:tc>
        <w:tc>
          <w:tcPr>
            <w:tcW w:w="3402" w:type="dxa"/>
          </w:tcPr>
          <w:p w14:paraId="743F44C3" w14:textId="77777777" w:rsidR="00057A11" w:rsidRPr="0089741D" w:rsidRDefault="00057A11" w:rsidP="00433440">
            <w:pPr>
              <w:pStyle w:val="ListParagraph"/>
              <w:ind w:left="0"/>
            </w:pPr>
          </w:p>
        </w:tc>
      </w:tr>
    </w:tbl>
    <w:p w14:paraId="6978F43D" w14:textId="53343F63" w:rsidR="00057A11" w:rsidRDefault="00057A11" w:rsidP="00057A11">
      <w:pPr>
        <w:jc w:val="left"/>
      </w:pPr>
    </w:p>
    <w:p w14:paraId="167095F4" w14:textId="41412439" w:rsidR="00057A11" w:rsidRDefault="00057A11" w:rsidP="00057A11">
      <w:pPr>
        <w:pStyle w:val="Heading3"/>
      </w:pPr>
      <w:r>
        <w:t xml:space="preserve">Standard </w:t>
      </w:r>
      <w:r w:rsidRPr="0089741D">
        <w:t>7.2 The service is responsive to family violence against Aboriginal and Torres Strait Islander people</w:t>
      </w:r>
      <w:r>
        <w:t>.</w:t>
      </w:r>
    </w:p>
    <w:p w14:paraId="5097AC17" w14:textId="77777777" w:rsidR="00057A11" w:rsidRPr="0089741D" w:rsidRDefault="00057A11" w:rsidP="00057A11">
      <w:r w:rsidRPr="0089741D">
        <w:t xml:space="preserve">HSS: (1) Empowerment; (3) Wellbeing; (4) Participation </w:t>
      </w:r>
    </w:p>
    <w:p w14:paraId="7B1786B4" w14:textId="608518B9" w:rsidR="00057A11" w:rsidRDefault="00057A11" w:rsidP="00057A11">
      <w:pPr>
        <w:jc w:val="left"/>
      </w:pPr>
      <w:r w:rsidRPr="0089741D">
        <w:t>QGF</w:t>
      </w:r>
      <w:r>
        <w:t xml:space="preserve"> domains</w:t>
      </w:r>
      <w:r w:rsidRPr="0089741D">
        <w:t xml:space="preserve">: </w:t>
      </w:r>
      <w:r>
        <w:t>Client and family partnerships; Workforce</w:t>
      </w:r>
    </w:p>
    <w:p w14:paraId="6D1255FC" w14:textId="73798A26" w:rsidR="00057A11" w:rsidRDefault="00057A11" w:rsidP="00057A11">
      <w:pPr>
        <w:jc w:val="left"/>
      </w:pPr>
    </w:p>
    <w:tbl>
      <w:tblPr>
        <w:tblStyle w:val="TableGridLight"/>
        <w:tblW w:w="21541" w:type="dxa"/>
        <w:tblLook w:val="0020" w:firstRow="1" w:lastRow="0" w:firstColumn="0" w:lastColumn="0" w:noHBand="0" w:noVBand="0"/>
      </w:tblPr>
      <w:tblGrid>
        <w:gridCol w:w="5382"/>
        <w:gridCol w:w="1134"/>
        <w:gridCol w:w="3118"/>
        <w:gridCol w:w="3261"/>
        <w:gridCol w:w="2126"/>
        <w:gridCol w:w="3118"/>
        <w:gridCol w:w="3402"/>
      </w:tblGrid>
      <w:tr w:rsidR="00057A11" w:rsidRPr="0089741D" w14:paraId="2E1F5078" w14:textId="77777777" w:rsidTr="00DB13FF">
        <w:trPr>
          <w:trHeight w:val="70"/>
        </w:trPr>
        <w:tc>
          <w:tcPr>
            <w:tcW w:w="5382" w:type="dxa"/>
            <w:shd w:val="clear" w:color="auto" w:fill="F2F2F2" w:themeFill="background1" w:themeFillShade="F2"/>
          </w:tcPr>
          <w:p w14:paraId="0E93D084" w14:textId="77777777" w:rsidR="00057A11" w:rsidRPr="0089741D" w:rsidRDefault="00057A11" w:rsidP="00DB13FF">
            <w:r w:rsidRPr="0089741D">
              <w:t>INDICATORS</w:t>
            </w:r>
          </w:p>
        </w:tc>
        <w:tc>
          <w:tcPr>
            <w:tcW w:w="1134" w:type="dxa"/>
            <w:shd w:val="clear" w:color="auto" w:fill="F2F2F2" w:themeFill="background1" w:themeFillShade="F2"/>
          </w:tcPr>
          <w:p w14:paraId="57B31B3D" w14:textId="77777777" w:rsidR="00057A11" w:rsidRPr="0089741D" w:rsidRDefault="00057A11" w:rsidP="00DB13FF">
            <w:r w:rsidRPr="0089741D">
              <w:t>RATING</w:t>
            </w:r>
          </w:p>
        </w:tc>
        <w:tc>
          <w:tcPr>
            <w:tcW w:w="3118" w:type="dxa"/>
            <w:shd w:val="clear" w:color="auto" w:fill="F2F2F2" w:themeFill="background1" w:themeFillShade="F2"/>
          </w:tcPr>
          <w:p w14:paraId="0D28D159" w14:textId="77777777" w:rsidR="00057A11" w:rsidRPr="0089741D" w:rsidRDefault="00057A11" w:rsidP="00DB13FF">
            <w:r w:rsidRPr="0089741D">
              <w:t>EVIDENCE</w:t>
            </w:r>
          </w:p>
        </w:tc>
        <w:tc>
          <w:tcPr>
            <w:tcW w:w="3261" w:type="dxa"/>
            <w:shd w:val="clear" w:color="auto" w:fill="F2F2F2" w:themeFill="background1" w:themeFillShade="F2"/>
          </w:tcPr>
          <w:p w14:paraId="71F4032B" w14:textId="77777777" w:rsidR="00057A11" w:rsidRPr="0089741D" w:rsidRDefault="00057A11" w:rsidP="00DB13FF">
            <w:r w:rsidRPr="0089741D">
              <w:t xml:space="preserve">IMPROVEMENT ACTIONS </w:t>
            </w:r>
          </w:p>
        </w:tc>
        <w:tc>
          <w:tcPr>
            <w:tcW w:w="2126" w:type="dxa"/>
            <w:shd w:val="clear" w:color="auto" w:fill="F2F2F2" w:themeFill="background1" w:themeFillShade="F2"/>
          </w:tcPr>
          <w:p w14:paraId="392A7F88" w14:textId="77777777" w:rsidR="00057A11" w:rsidRPr="0089741D" w:rsidRDefault="00057A11" w:rsidP="00DB13FF">
            <w:r w:rsidRPr="0089741D">
              <w:t>TIMEFRAME</w:t>
            </w:r>
          </w:p>
        </w:tc>
        <w:tc>
          <w:tcPr>
            <w:tcW w:w="3118" w:type="dxa"/>
            <w:shd w:val="clear" w:color="auto" w:fill="F2F2F2" w:themeFill="background1" w:themeFillShade="F2"/>
          </w:tcPr>
          <w:p w14:paraId="2E6B6870" w14:textId="77777777" w:rsidR="00057A11" w:rsidRPr="0089741D" w:rsidRDefault="00057A11" w:rsidP="00DB13FF">
            <w:r w:rsidRPr="0089741D">
              <w:t>PERSON(S) RESPONSIBLE</w:t>
            </w:r>
          </w:p>
        </w:tc>
        <w:tc>
          <w:tcPr>
            <w:tcW w:w="3402" w:type="dxa"/>
            <w:shd w:val="clear" w:color="auto" w:fill="F2F2F2" w:themeFill="background1" w:themeFillShade="F2"/>
          </w:tcPr>
          <w:p w14:paraId="699256F8" w14:textId="77777777" w:rsidR="00057A11" w:rsidRPr="0089741D" w:rsidRDefault="00057A11" w:rsidP="00DB13FF">
            <w:r w:rsidRPr="0089741D">
              <w:t>OUTCOME</w:t>
            </w:r>
          </w:p>
        </w:tc>
      </w:tr>
      <w:tr w:rsidR="00057A11" w:rsidRPr="0089741D" w14:paraId="03FAB8B0" w14:textId="77777777" w:rsidTr="00DB13FF">
        <w:trPr>
          <w:trHeight w:val="870"/>
        </w:trPr>
        <w:tc>
          <w:tcPr>
            <w:tcW w:w="5382" w:type="dxa"/>
          </w:tcPr>
          <w:p w14:paraId="025EE669" w14:textId="77777777" w:rsidR="00057A11" w:rsidRPr="0089741D" w:rsidRDefault="00057A11" w:rsidP="00057A11">
            <w:pPr>
              <w:pStyle w:val="ListParagraph"/>
              <w:numPr>
                <w:ilvl w:val="0"/>
                <w:numId w:val="29"/>
              </w:numPr>
              <w:ind w:left="318"/>
              <w:jc w:val="left"/>
            </w:pPr>
            <w:r w:rsidRPr="0089741D">
              <w:t>The Aboriginal definition of family violence is used alongside the mainstream/legal definition in policies, practice guidance and other relevant material.</w:t>
            </w:r>
          </w:p>
        </w:tc>
        <w:tc>
          <w:tcPr>
            <w:tcW w:w="1134" w:type="dxa"/>
          </w:tcPr>
          <w:p w14:paraId="0DBA0351" w14:textId="77777777" w:rsidR="00057A11" w:rsidRPr="0089741D" w:rsidRDefault="00057A11" w:rsidP="00433440">
            <w:pPr>
              <w:pStyle w:val="ListParagraph"/>
              <w:ind w:left="0"/>
            </w:pPr>
          </w:p>
        </w:tc>
        <w:tc>
          <w:tcPr>
            <w:tcW w:w="3118" w:type="dxa"/>
          </w:tcPr>
          <w:p w14:paraId="341E049C" w14:textId="77777777" w:rsidR="00057A11" w:rsidRPr="0089741D" w:rsidRDefault="00057A11" w:rsidP="00433440">
            <w:pPr>
              <w:pStyle w:val="ListParagraph"/>
              <w:ind w:left="39"/>
            </w:pPr>
          </w:p>
        </w:tc>
        <w:tc>
          <w:tcPr>
            <w:tcW w:w="3261" w:type="dxa"/>
          </w:tcPr>
          <w:p w14:paraId="7EA39867" w14:textId="77777777" w:rsidR="00057A11" w:rsidRPr="0089741D" w:rsidRDefault="00057A11" w:rsidP="00433440">
            <w:pPr>
              <w:pStyle w:val="ListParagraph"/>
              <w:ind w:left="37"/>
            </w:pPr>
          </w:p>
        </w:tc>
        <w:tc>
          <w:tcPr>
            <w:tcW w:w="2126" w:type="dxa"/>
          </w:tcPr>
          <w:p w14:paraId="651AAF69" w14:textId="77777777" w:rsidR="00057A11" w:rsidRPr="0089741D" w:rsidRDefault="00057A11" w:rsidP="00433440">
            <w:pPr>
              <w:pStyle w:val="ListParagraph"/>
              <w:ind w:left="33"/>
            </w:pPr>
          </w:p>
        </w:tc>
        <w:tc>
          <w:tcPr>
            <w:tcW w:w="3118" w:type="dxa"/>
          </w:tcPr>
          <w:p w14:paraId="4BC8430F" w14:textId="77777777" w:rsidR="00057A11" w:rsidRPr="0089741D" w:rsidRDefault="00057A11" w:rsidP="00433440">
            <w:pPr>
              <w:pStyle w:val="ListParagraph"/>
              <w:ind w:left="0"/>
            </w:pPr>
          </w:p>
        </w:tc>
        <w:tc>
          <w:tcPr>
            <w:tcW w:w="3402" w:type="dxa"/>
          </w:tcPr>
          <w:p w14:paraId="5CC17036" w14:textId="77777777" w:rsidR="00057A11" w:rsidRPr="0089741D" w:rsidRDefault="00057A11" w:rsidP="00433440">
            <w:pPr>
              <w:pStyle w:val="ListParagraph"/>
              <w:ind w:left="0"/>
            </w:pPr>
          </w:p>
        </w:tc>
      </w:tr>
      <w:tr w:rsidR="00057A11" w:rsidRPr="0089741D" w14:paraId="34104C56" w14:textId="77777777" w:rsidTr="00DB13FF">
        <w:trPr>
          <w:trHeight w:val="276"/>
        </w:trPr>
        <w:tc>
          <w:tcPr>
            <w:tcW w:w="5382" w:type="dxa"/>
          </w:tcPr>
          <w:p w14:paraId="448BEF16" w14:textId="77777777" w:rsidR="00057A11" w:rsidRPr="0089741D" w:rsidRDefault="00057A11" w:rsidP="00057A11">
            <w:pPr>
              <w:pStyle w:val="ListParagraph"/>
              <w:numPr>
                <w:ilvl w:val="0"/>
                <w:numId w:val="29"/>
              </w:numPr>
              <w:ind w:left="318"/>
              <w:jc w:val="left"/>
            </w:pPr>
            <w:r w:rsidRPr="0089741D">
              <w:t xml:space="preserve">Family violence risk assessment and risk management processes involving Aboriginal and Torres Strait Islander people is undertaken according to the </w:t>
            </w:r>
            <w:r w:rsidRPr="0089741D">
              <w:rPr>
                <w:i/>
                <w:iCs/>
              </w:rPr>
              <w:t>MARAM Framework</w:t>
            </w:r>
            <w:r w:rsidRPr="0089741D">
              <w:t xml:space="preserve"> practice guidance.</w:t>
            </w:r>
          </w:p>
        </w:tc>
        <w:tc>
          <w:tcPr>
            <w:tcW w:w="1134" w:type="dxa"/>
          </w:tcPr>
          <w:p w14:paraId="475FECD8" w14:textId="77777777" w:rsidR="00057A11" w:rsidRPr="0089741D" w:rsidRDefault="00057A11" w:rsidP="00433440">
            <w:pPr>
              <w:pStyle w:val="ListParagraph"/>
              <w:ind w:left="0"/>
            </w:pPr>
          </w:p>
        </w:tc>
        <w:tc>
          <w:tcPr>
            <w:tcW w:w="3118" w:type="dxa"/>
          </w:tcPr>
          <w:p w14:paraId="460DE9BE" w14:textId="77777777" w:rsidR="00057A11" w:rsidRPr="0089741D" w:rsidRDefault="00057A11" w:rsidP="00433440">
            <w:pPr>
              <w:pStyle w:val="ListParagraph"/>
              <w:ind w:left="39"/>
            </w:pPr>
          </w:p>
        </w:tc>
        <w:tc>
          <w:tcPr>
            <w:tcW w:w="3261" w:type="dxa"/>
          </w:tcPr>
          <w:p w14:paraId="1ECCFE9C" w14:textId="77777777" w:rsidR="00057A11" w:rsidRPr="0089741D" w:rsidRDefault="00057A11" w:rsidP="00433440">
            <w:pPr>
              <w:pStyle w:val="ListParagraph"/>
              <w:ind w:left="37"/>
            </w:pPr>
          </w:p>
        </w:tc>
        <w:tc>
          <w:tcPr>
            <w:tcW w:w="2126" w:type="dxa"/>
          </w:tcPr>
          <w:p w14:paraId="39505F52" w14:textId="77777777" w:rsidR="00057A11" w:rsidRPr="0089741D" w:rsidRDefault="00057A11" w:rsidP="00433440">
            <w:pPr>
              <w:pStyle w:val="ListParagraph"/>
              <w:ind w:left="33"/>
            </w:pPr>
          </w:p>
        </w:tc>
        <w:tc>
          <w:tcPr>
            <w:tcW w:w="3118" w:type="dxa"/>
          </w:tcPr>
          <w:p w14:paraId="5B658C8D" w14:textId="77777777" w:rsidR="00057A11" w:rsidRPr="0089741D" w:rsidRDefault="00057A11" w:rsidP="00433440">
            <w:pPr>
              <w:pStyle w:val="ListParagraph"/>
              <w:ind w:left="0"/>
            </w:pPr>
          </w:p>
        </w:tc>
        <w:tc>
          <w:tcPr>
            <w:tcW w:w="3402" w:type="dxa"/>
          </w:tcPr>
          <w:p w14:paraId="61CDED2A" w14:textId="77777777" w:rsidR="00057A11" w:rsidRPr="0089741D" w:rsidRDefault="00057A11" w:rsidP="00433440">
            <w:pPr>
              <w:pStyle w:val="ListParagraph"/>
              <w:ind w:left="0"/>
            </w:pPr>
          </w:p>
        </w:tc>
      </w:tr>
      <w:tr w:rsidR="00057A11" w:rsidRPr="0089741D" w14:paraId="5BB0BAB7" w14:textId="77777777" w:rsidTr="00DB13FF">
        <w:trPr>
          <w:trHeight w:val="627"/>
        </w:trPr>
        <w:tc>
          <w:tcPr>
            <w:tcW w:w="5382" w:type="dxa"/>
          </w:tcPr>
          <w:p w14:paraId="704D3E2E" w14:textId="0D1C043C" w:rsidR="00BF2AD5" w:rsidRPr="0089741D" w:rsidRDefault="00BF2AD5" w:rsidP="00BF2AD5">
            <w:pPr>
              <w:pStyle w:val="ListParagraph"/>
              <w:numPr>
                <w:ilvl w:val="0"/>
                <w:numId w:val="29"/>
              </w:numPr>
              <w:ind w:left="318"/>
              <w:jc w:val="left"/>
            </w:pPr>
            <w:r>
              <w:t>Processes are in place to ensure that all victim-survivors are asked if they, and/or their children, identify as Aboriginal or Torres Strait Islander and referral options are provided for either mainstream or Aboriginal organisations.</w:t>
            </w:r>
          </w:p>
        </w:tc>
        <w:tc>
          <w:tcPr>
            <w:tcW w:w="1134" w:type="dxa"/>
          </w:tcPr>
          <w:p w14:paraId="5E575ABA" w14:textId="77777777" w:rsidR="00057A11" w:rsidRPr="0089741D" w:rsidRDefault="00057A11" w:rsidP="00433440">
            <w:pPr>
              <w:pStyle w:val="ListParagraph"/>
              <w:ind w:left="0"/>
            </w:pPr>
          </w:p>
        </w:tc>
        <w:tc>
          <w:tcPr>
            <w:tcW w:w="3118" w:type="dxa"/>
          </w:tcPr>
          <w:p w14:paraId="584080B0" w14:textId="77777777" w:rsidR="00057A11" w:rsidRPr="0089741D" w:rsidRDefault="00057A11" w:rsidP="00433440">
            <w:pPr>
              <w:pStyle w:val="ListParagraph"/>
              <w:ind w:left="39"/>
            </w:pPr>
          </w:p>
        </w:tc>
        <w:tc>
          <w:tcPr>
            <w:tcW w:w="3261" w:type="dxa"/>
          </w:tcPr>
          <w:p w14:paraId="3D95C817" w14:textId="77777777" w:rsidR="00057A11" w:rsidRPr="0089741D" w:rsidRDefault="00057A11" w:rsidP="00433440">
            <w:pPr>
              <w:pStyle w:val="ListParagraph"/>
              <w:ind w:left="37"/>
            </w:pPr>
          </w:p>
        </w:tc>
        <w:tc>
          <w:tcPr>
            <w:tcW w:w="2126" w:type="dxa"/>
          </w:tcPr>
          <w:p w14:paraId="3629E044" w14:textId="77777777" w:rsidR="00057A11" w:rsidRPr="0089741D" w:rsidRDefault="00057A11" w:rsidP="00433440">
            <w:pPr>
              <w:pStyle w:val="ListParagraph"/>
              <w:ind w:left="33"/>
            </w:pPr>
          </w:p>
        </w:tc>
        <w:tc>
          <w:tcPr>
            <w:tcW w:w="3118" w:type="dxa"/>
          </w:tcPr>
          <w:p w14:paraId="7F8D563C" w14:textId="77777777" w:rsidR="00057A11" w:rsidRPr="0089741D" w:rsidRDefault="00057A11" w:rsidP="00433440">
            <w:pPr>
              <w:pStyle w:val="ListParagraph"/>
              <w:ind w:left="0"/>
            </w:pPr>
          </w:p>
        </w:tc>
        <w:tc>
          <w:tcPr>
            <w:tcW w:w="3402" w:type="dxa"/>
          </w:tcPr>
          <w:p w14:paraId="6C322B36" w14:textId="77777777" w:rsidR="00057A11" w:rsidRPr="0089741D" w:rsidRDefault="00057A11" w:rsidP="00433440">
            <w:pPr>
              <w:pStyle w:val="ListParagraph"/>
              <w:ind w:left="0"/>
            </w:pPr>
          </w:p>
        </w:tc>
      </w:tr>
      <w:tr w:rsidR="00057A11" w:rsidRPr="0089741D" w14:paraId="6D5F48E7" w14:textId="77777777" w:rsidTr="00DB13FF">
        <w:trPr>
          <w:trHeight w:val="559"/>
        </w:trPr>
        <w:tc>
          <w:tcPr>
            <w:tcW w:w="5382" w:type="dxa"/>
          </w:tcPr>
          <w:p w14:paraId="25F7E150" w14:textId="4076C5F2" w:rsidR="00057A11" w:rsidRPr="0089741D" w:rsidRDefault="00057A11" w:rsidP="00BF2AD5">
            <w:pPr>
              <w:pStyle w:val="ListParagraph"/>
              <w:numPr>
                <w:ilvl w:val="0"/>
                <w:numId w:val="29"/>
              </w:numPr>
              <w:ind w:left="318"/>
              <w:jc w:val="left"/>
            </w:pPr>
            <w:r w:rsidRPr="004C66D8">
              <w:t>Services respon</w:t>
            </w:r>
            <w:r w:rsidR="00BF2AD5">
              <w:t>d</w:t>
            </w:r>
            <w:r w:rsidRPr="004C66D8">
              <w:t xml:space="preserve"> to Aboriginal victim-survivors’ rights to maintain or restore connections with culture, Country, family, kinship and community networks.</w:t>
            </w:r>
          </w:p>
        </w:tc>
        <w:tc>
          <w:tcPr>
            <w:tcW w:w="1134" w:type="dxa"/>
          </w:tcPr>
          <w:p w14:paraId="318B83F1" w14:textId="77777777" w:rsidR="00057A11" w:rsidRPr="0089741D" w:rsidRDefault="00057A11" w:rsidP="00433440"/>
        </w:tc>
        <w:tc>
          <w:tcPr>
            <w:tcW w:w="3118" w:type="dxa"/>
          </w:tcPr>
          <w:p w14:paraId="50519223" w14:textId="77777777" w:rsidR="00057A11" w:rsidRPr="0089741D" w:rsidRDefault="00057A11" w:rsidP="00433440">
            <w:pPr>
              <w:ind w:left="39"/>
            </w:pPr>
          </w:p>
        </w:tc>
        <w:tc>
          <w:tcPr>
            <w:tcW w:w="3261" w:type="dxa"/>
          </w:tcPr>
          <w:p w14:paraId="64601D88" w14:textId="77777777" w:rsidR="00057A11" w:rsidRPr="0089741D" w:rsidRDefault="00057A11" w:rsidP="00433440">
            <w:pPr>
              <w:ind w:left="37"/>
            </w:pPr>
          </w:p>
        </w:tc>
        <w:tc>
          <w:tcPr>
            <w:tcW w:w="2126" w:type="dxa"/>
          </w:tcPr>
          <w:p w14:paraId="5659DBEC" w14:textId="77777777" w:rsidR="00057A11" w:rsidRPr="0089741D" w:rsidRDefault="00057A11" w:rsidP="00433440">
            <w:pPr>
              <w:ind w:left="33"/>
            </w:pPr>
          </w:p>
        </w:tc>
        <w:tc>
          <w:tcPr>
            <w:tcW w:w="3118" w:type="dxa"/>
          </w:tcPr>
          <w:p w14:paraId="5056CDB1" w14:textId="77777777" w:rsidR="00057A11" w:rsidRPr="0089741D" w:rsidRDefault="00057A11" w:rsidP="00433440"/>
        </w:tc>
        <w:tc>
          <w:tcPr>
            <w:tcW w:w="3402" w:type="dxa"/>
          </w:tcPr>
          <w:p w14:paraId="2D1DDACA" w14:textId="77777777" w:rsidR="00057A11" w:rsidRPr="0089741D" w:rsidRDefault="00057A11" w:rsidP="00433440"/>
        </w:tc>
      </w:tr>
      <w:tr w:rsidR="00057A11" w:rsidRPr="0089741D" w14:paraId="5DB6FBEC" w14:textId="77777777" w:rsidTr="00DB13FF">
        <w:trPr>
          <w:trHeight w:val="776"/>
        </w:trPr>
        <w:tc>
          <w:tcPr>
            <w:tcW w:w="5382" w:type="dxa"/>
          </w:tcPr>
          <w:p w14:paraId="7B7CB7BB" w14:textId="77777777" w:rsidR="00057A11" w:rsidRPr="0089741D" w:rsidRDefault="00057A11" w:rsidP="00BF2AD5">
            <w:pPr>
              <w:pStyle w:val="ListParagraph"/>
              <w:numPr>
                <w:ilvl w:val="0"/>
                <w:numId w:val="29"/>
              </w:numPr>
              <w:ind w:left="318"/>
              <w:jc w:val="left"/>
            </w:pPr>
            <w:r w:rsidRPr="0089741D">
              <w:t>Partnerships with Aboriginal organisations are developed to inform service design and enable effective referral pathways and coordinated responses for Aboriginal and Torres Strait Islander peoples.</w:t>
            </w:r>
          </w:p>
        </w:tc>
        <w:tc>
          <w:tcPr>
            <w:tcW w:w="1134" w:type="dxa"/>
          </w:tcPr>
          <w:p w14:paraId="7AA17DD6" w14:textId="77777777" w:rsidR="00057A11" w:rsidRPr="0089741D" w:rsidRDefault="00057A11" w:rsidP="00433440">
            <w:pPr>
              <w:pStyle w:val="ListParagraph"/>
              <w:ind w:left="0"/>
            </w:pPr>
          </w:p>
        </w:tc>
        <w:tc>
          <w:tcPr>
            <w:tcW w:w="3118" w:type="dxa"/>
          </w:tcPr>
          <w:p w14:paraId="20657327" w14:textId="77777777" w:rsidR="00057A11" w:rsidRPr="0089741D" w:rsidRDefault="00057A11" w:rsidP="00433440">
            <w:pPr>
              <w:pStyle w:val="ListParagraph"/>
              <w:ind w:left="39"/>
            </w:pPr>
          </w:p>
        </w:tc>
        <w:tc>
          <w:tcPr>
            <w:tcW w:w="3261" w:type="dxa"/>
          </w:tcPr>
          <w:p w14:paraId="6EFF751C" w14:textId="77777777" w:rsidR="00057A11" w:rsidRPr="0089741D" w:rsidRDefault="00057A11" w:rsidP="00433440">
            <w:pPr>
              <w:pStyle w:val="ListParagraph"/>
              <w:ind w:left="37"/>
            </w:pPr>
          </w:p>
        </w:tc>
        <w:tc>
          <w:tcPr>
            <w:tcW w:w="2126" w:type="dxa"/>
          </w:tcPr>
          <w:p w14:paraId="593C9A1F" w14:textId="77777777" w:rsidR="00057A11" w:rsidRPr="0089741D" w:rsidRDefault="00057A11" w:rsidP="00433440">
            <w:pPr>
              <w:pStyle w:val="ListParagraph"/>
              <w:ind w:left="33"/>
            </w:pPr>
          </w:p>
        </w:tc>
        <w:tc>
          <w:tcPr>
            <w:tcW w:w="3118" w:type="dxa"/>
          </w:tcPr>
          <w:p w14:paraId="04F18749" w14:textId="77777777" w:rsidR="00057A11" w:rsidRPr="0089741D" w:rsidRDefault="00057A11" w:rsidP="00433440">
            <w:pPr>
              <w:pStyle w:val="ListParagraph"/>
              <w:ind w:left="0"/>
            </w:pPr>
          </w:p>
        </w:tc>
        <w:tc>
          <w:tcPr>
            <w:tcW w:w="3402" w:type="dxa"/>
          </w:tcPr>
          <w:p w14:paraId="40DF9DD6" w14:textId="77777777" w:rsidR="00057A11" w:rsidRPr="0089741D" w:rsidRDefault="00057A11" w:rsidP="00433440">
            <w:pPr>
              <w:pStyle w:val="ListParagraph"/>
              <w:ind w:left="0"/>
            </w:pPr>
          </w:p>
        </w:tc>
      </w:tr>
    </w:tbl>
    <w:p w14:paraId="18B5B956" w14:textId="77777777" w:rsidR="00057A11" w:rsidRDefault="00057A11" w:rsidP="00057A11">
      <w:pPr>
        <w:jc w:val="left"/>
      </w:pPr>
    </w:p>
    <w:p w14:paraId="30085DB0" w14:textId="778BBCC3" w:rsidR="00092171" w:rsidRDefault="00092171" w:rsidP="00FD4A08"/>
    <w:p w14:paraId="46D57A67" w14:textId="77777777" w:rsidR="002A206A" w:rsidRDefault="002A206A" w:rsidP="00FD4A08"/>
    <w:p w14:paraId="503AB703" w14:textId="77777777" w:rsidR="002A206A" w:rsidRDefault="002A206A" w:rsidP="002A206A">
      <w:pPr>
        <w:pStyle w:val="Heading2"/>
      </w:pPr>
      <w:r w:rsidRPr="0089741D">
        <w:lastRenderedPageBreak/>
        <w:t>Principle 8: Inclusion and Equity</w:t>
      </w:r>
    </w:p>
    <w:p w14:paraId="25F201C5" w14:textId="1B336645" w:rsidR="002A206A" w:rsidRDefault="002A206A" w:rsidP="002A206A">
      <w:pPr>
        <w:pStyle w:val="Heading3"/>
      </w:pPr>
      <w:r>
        <w:t xml:space="preserve">Standard </w:t>
      </w:r>
      <w:r w:rsidRPr="0089741D">
        <w:t>8.1 The service meets its obligations to prevent discrimination and promote equal opportunity.</w:t>
      </w:r>
    </w:p>
    <w:p w14:paraId="4945D465" w14:textId="77777777" w:rsidR="002A206A" w:rsidRPr="0089741D" w:rsidRDefault="002A206A" w:rsidP="002A206A">
      <w:r w:rsidRPr="0089741D">
        <w:t xml:space="preserve">HSS: (1) Empowerment; (2) Access and engagement; (5) Governance and management </w:t>
      </w:r>
    </w:p>
    <w:p w14:paraId="1DE730BF" w14:textId="16F20BB3" w:rsidR="002A206A" w:rsidRDefault="002A206A" w:rsidP="002A206A">
      <w:r w:rsidRPr="0089741D">
        <w:t>QGF</w:t>
      </w:r>
      <w:r>
        <w:t xml:space="preserve"> domains</w:t>
      </w:r>
      <w:r w:rsidRPr="0089741D">
        <w:t xml:space="preserve">: </w:t>
      </w:r>
      <w:r>
        <w:t>Best practice</w:t>
      </w:r>
    </w:p>
    <w:p w14:paraId="10317A92" w14:textId="19BA917A" w:rsidR="00BF2AD5" w:rsidRDefault="00BF2AD5" w:rsidP="00FD4A08"/>
    <w:tbl>
      <w:tblPr>
        <w:tblStyle w:val="TableGridLight"/>
        <w:tblW w:w="21541" w:type="dxa"/>
        <w:tblLook w:val="0020" w:firstRow="1" w:lastRow="0" w:firstColumn="0" w:lastColumn="0" w:noHBand="0" w:noVBand="0"/>
      </w:tblPr>
      <w:tblGrid>
        <w:gridCol w:w="5382"/>
        <w:gridCol w:w="1134"/>
        <w:gridCol w:w="3118"/>
        <w:gridCol w:w="3261"/>
        <w:gridCol w:w="2126"/>
        <w:gridCol w:w="3118"/>
        <w:gridCol w:w="3402"/>
      </w:tblGrid>
      <w:tr w:rsidR="002A206A" w:rsidRPr="0089741D" w14:paraId="4ADF6D28" w14:textId="77777777" w:rsidTr="00DB13FF">
        <w:trPr>
          <w:trHeight w:val="70"/>
        </w:trPr>
        <w:tc>
          <w:tcPr>
            <w:tcW w:w="5382" w:type="dxa"/>
            <w:shd w:val="clear" w:color="auto" w:fill="F2F2F2" w:themeFill="background1" w:themeFillShade="F2"/>
          </w:tcPr>
          <w:p w14:paraId="1B4CD1E3" w14:textId="77777777" w:rsidR="002A206A" w:rsidRPr="0089741D" w:rsidRDefault="002A206A" w:rsidP="00DB13FF">
            <w:r w:rsidRPr="0089741D">
              <w:t>INDICATORS</w:t>
            </w:r>
          </w:p>
        </w:tc>
        <w:tc>
          <w:tcPr>
            <w:tcW w:w="1134" w:type="dxa"/>
            <w:shd w:val="clear" w:color="auto" w:fill="F2F2F2" w:themeFill="background1" w:themeFillShade="F2"/>
          </w:tcPr>
          <w:p w14:paraId="6D1CAD68" w14:textId="77777777" w:rsidR="002A206A" w:rsidRPr="0089741D" w:rsidRDefault="002A206A" w:rsidP="00DB13FF">
            <w:r w:rsidRPr="0089741D">
              <w:t>RATING</w:t>
            </w:r>
          </w:p>
        </w:tc>
        <w:tc>
          <w:tcPr>
            <w:tcW w:w="3118" w:type="dxa"/>
            <w:shd w:val="clear" w:color="auto" w:fill="F2F2F2" w:themeFill="background1" w:themeFillShade="F2"/>
          </w:tcPr>
          <w:p w14:paraId="0035549D" w14:textId="77777777" w:rsidR="002A206A" w:rsidRPr="0089741D" w:rsidRDefault="002A206A" w:rsidP="00DB13FF">
            <w:r w:rsidRPr="0089741D">
              <w:t>EVIDENCE</w:t>
            </w:r>
          </w:p>
        </w:tc>
        <w:tc>
          <w:tcPr>
            <w:tcW w:w="3261" w:type="dxa"/>
            <w:shd w:val="clear" w:color="auto" w:fill="F2F2F2" w:themeFill="background1" w:themeFillShade="F2"/>
          </w:tcPr>
          <w:p w14:paraId="18FBB8D2" w14:textId="77777777" w:rsidR="002A206A" w:rsidRPr="0089741D" w:rsidRDefault="002A206A" w:rsidP="00DB13FF">
            <w:r w:rsidRPr="0089741D">
              <w:t xml:space="preserve">IMPROVEMENT ACTIONS </w:t>
            </w:r>
          </w:p>
        </w:tc>
        <w:tc>
          <w:tcPr>
            <w:tcW w:w="2126" w:type="dxa"/>
            <w:shd w:val="clear" w:color="auto" w:fill="F2F2F2" w:themeFill="background1" w:themeFillShade="F2"/>
          </w:tcPr>
          <w:p w14:paraId="0BEE0318" w14:textId="77777777" w:rsidR="002A206A" w:rsidRPr="0089741D" w:rsidRDefault="002A206A" w:rsidP="00DB13FF">
            <w:r w:rsidRPr="0089741D">
              <w:t>TIMEFRAME</w:t>
            </w:r>
          </w:p>
        </w:tc>
        <w:tc>
          <w:tcPr>
            <w:tcW w:w="3118" w:type="dxa"/>
            <w:shd w:val="clear" w:color="auto" w:fill="F2F2F2" w:themeFill="background1" w:themeFillShade="F2"/>
          </w:tcPr>
          <w:p w14:paraId="44F97768" w14:textId="77777777" w:rsidR="002A206A" w:rsidRPr="0089741D" w:rsidRDefault="002A206A" w:rsidP="00DB13FF">
            <w:r w:rsidRPr="0089741D">
              <w:t>PERSON(S) RESPONSIBLE</w:t>
            </w:r>
          </w:p>
        </w:tc>
        <w:tc>
          <w:tcPr>
            <w:tcW w:w="3402" w:type="dxa"/>
            <w:shd w:val="clear" w:color="auto" w:fill="F2F2F2" w:themeFill="background1" w:themeFillShade="F2"/>
          </w:tcPr>
          <w:p w14:paraId="3166ABF4" w14:textId="77777777" w:rsidR="002A206A" w:rsidRPr="0089741D" w:rsidRDefault="002A206A" w:rsidP="00DB13FF">
            <w:r w:rsidRPr="0089741D">
              <w:t>OUTCOME</w:t>
            </w:r>
          </w:p>
        </w:tc>
      </w:tr>
      <w:tr w:rsidR="002A206A" w:rsidRPr="0089741D" w14:paraId="209DF61C" w14:textId="77777777" w:rsidTr="00DB13FF">
        <w:trPr>
          <w:trHeight w:val="134"/>
        </w:trPr>
        <w:tc>
          <w:tcPr>
            <w:tcW w:w="5382" w:type="dxa"/>
          </w:tcPr>
          <w:p w14:paraId="786B763D" w14:textId="77777777" w:rsidR="002A206A" w:rsidRPr="0089741D" w:rsidRDefault="002A206A" w:rsidP="002A206A">
            <w:pPr>
              <w:pStyle w:val="ListParagraph"/>
              <w:numPr>
                <w:ilvl w:val="0"/>
                <w:numId w:val="15"/>
              </w:numPr>
              <w:jc w:val="left"/>
            </w:pPr>
            <w:bookmarkStart w:id="1" w:name="_Hlk8118789"/>
            <w:r w:rsidRPr="0089741D">
              <w:t>Responsibilities to prevent discrimination and enable inclusive and equitable service provision and employment practices are implemented according to state and federal equal opportunity and human rights legislation.</w:t>
            </w:r>
            <w:bookmarkEnd w:id="1"/>
          </w:p>
        </w:tc>
        <w:tc>
          <w:tcPr>
            <w:tcW w:w="1134" w:type="dxa"/>
          </w:tcPr>
          <w:p w14:paraId="4DA3F2C7" w14:textId="77777777" w:rsidR="002A206A" w:rsidRPr="0089741D" w:rsidRDefault="002A206A" w:rsidP="00433440">
            <w:pPr>
              <w:pStyle w:val="ListParagraph"/>
              <w:ind w:left="0"/>
            </w:pPr>
          </w:p>
        </w:tc>
        <w:tc>
          <w:tcPr>
            <w:tcW w:w="3118" w:type="dxa"/>
          </w:tcPr>
          <w:p w14:paraId="25A5966F" w14:textId="77777777" w:rsidR="002A206A" w:rsidRPr="0089741D" w:rsidRDefault="002A206A" w:rsidP="00433440">
            <w:pPr>
              <w:pStyle w:val="ListParagraph"/>
              <w:ind w:left="0"/>
            </w:pPr>
          </w:p>
        </w:tc>
        <w:tc>
          <w:tcPr>
            <w:tcW w:w="3261" w:type="dxa"/>
          </w:tcPr>
          <w:p w14:paraId="5C88E781" w14:textId="77777777" w:rsidR="002A206A" w:rsidRPr="0089741D" w:rsidRDefault="002A206A" w:rsidP="00433440">
            <w:pPr>
              <w:pStyle w:val="ListParagraph"/>
              <w:ind w:left="0"/>
            </w:pPr>
          </w:p>
        </w:tc>
        <w:tc>
          <w:tcPr>
            <w:tcW w:w="2126" w:type="dxa"/>
          </w:tcPr>
          <w:p w14:paraId="0B262F23" w14:textId="77777777" w:rsidR="002A206A" w:rsidRPr="0089741D" w:rsidRDefault="002A206A" w:rsidP="00433440">
            <w:pPr>
              <w:pStyle w:val="ListParagraph"/>
              <w:ind w:left="33"/>
            </w:pPr>
          </w:p>
        </w:tc>
        <w:tc>
          <w:tcPr>
            <w:tcW w:w="3118" w:type="dxa"/>
          </w:tcPr>
          <w:p w14:paraId="52EAFB13" w14:textId="77777777" w:rsidR="002A206A" w:rsidRPr="0089741D" w:rsidRDefault="002A206A" w:rsidP="00433440">
            <w:pPr>
              <w:pStyle w:val="ListParagraph"/>
              <w:ind w:left="0"/>
            </w:pPr>
          </w:p>
        </w:tc>
        <w:tc>
          <w:tcPr>
            <w:tcW w:w="3402" w:type="dxa"/>
          </w:tcPr>
          <w:p w14:paraId="1BAEEBEF" w14:textId="77777777" w:rsidR="002A206A" w:rsidRPr="0089741D" w:rsidRDefault="002A206A" w:rsidP="00433440">
            <w:pPr>
              <w:pStyle w:val="ListParagraph"/>
              <w:ind w:left="0"/>
            </w:pPr>
          </w:p>
        </w:tc>
      </w:tr>
      <w:tr w:rsidR="002A206A" w:rsidRPr="0089741D" w14:paraId="236AFB8A" w14:textId="77777777" w:rsidTr="00DB13FF">
        <w:trPr>
          <w:trHeight w:val="831"/>
        </w:trPr>
        <w:tc>
          <w:tcPr>
            <w:tcW w:w="5382" w:type="dxa"/>
          </w:tcPr>
          <w:p w14:paraId="66F7522F" w14:textId="77777777" w:rsidR="002A206A" w:rsidRPr="0089741D" w:rsidRDefault="002A206A" w:rsidP="002A206A">
            <w:pPr>
              <w:pStyle w:val="ListParagraph"/>
              <w:numPr>
                <w:ilvl w:val="0"/>
                <w:numId w:val="15"/>
              </w:numPr>
              <w:jc w:val="left"/>
            </w:pPr>
            <w:r w:rsidRPr="0089741D">
              <w:t xml:space="preserve">An Equal Opportunity Policy is implemented and monitored according to </w:t>
            </w:r>
            <w:r w:rsidRPr="002A206A">
              <w:rPr>
                <w:i/>
                <w:iCs/>
              </w:rPr>
              <w:t>the ‘Guideline: Family violence services and accommodation’</w:t>
            </w:r>
            <w:r w:rsidRPr="0089741D">
              <w:t xml:space="preserve"> (Victorian Equal Opportunity and Human Rights Commission). </w:t>
            </w:r>
          </w:p>
        </w:tc>
        <w:tc>
          <w:tcPr>
            <w:tcW w:w="1134" w:type="dxa"/>
          </w:tcPr>
          <w:p w14:paraId="3918AFE3" w14:textId="77777777" w:rsidR="002A206A" w:rsidRPr="0089741D" w:rsidRDefault="002A206A" w:rsidP="00433440">
            <w:pPr>
              <w:pStyle w:val="ListParagraph"/>
              <w:ind w:left="0"/>
            </w:pPr>
          </w:p>
        </w:tc>
        <w:tc>
          <w:tcPr>
            <w:tcW w:w="3118" w:type="dxa"/>
          </w:tcPr>
          <w:p w14:paraId="03207701" w14:textId="77777777" w:rsidR="002A206A" w:rsidRPr="0089741D" w:rsidRDefault="002A206A" w:rsidP="00433440">
            <w:pPr>
              <w:pStyle w:val="ListParagraph"/>
              <w:ind w:left="0"/>
            </w:pPr>
          </w:p>
        </w:tc>
        <w:tc>
          <w:tcPr>
            <w:tcW w:w="3261" w:type="dxa"/>
          </w:tcPr>
          <w:p w14:paraId="0F82052F" w14:textId="77777777" w:rsidR="002A206A" w:rsidRPr="0089741D" w:rsidRDefault="002A206A" w:rsidP="00433440">
            <w:pPr>
              <w:pStyle w:val="ListParagraph"/>
              <w:ind w:left="0"/>
            </w:pPr>
          </w:p>
        </w:tc>
        <w:tc>
          <w:tcPr>
            <w:tcW w:w="2126" w:type="dxa"/>
          </w:tcPr>
          <w:p w14:paraId="0A0D88D0" w14:textId="77777777" w:rsidR="002A206A" w:rsidRPr="0089741D" w:rsidRDefault="002A206A" w:rsidP="00433440">
            <w:pPr>
              <w:pStyle w:val="ListParagraph"/>
              <w:ind w:left="33"/>
            </w:pPr>
          </w:p>
        </w:tc>
        <w:tc>
          <w:tcPr>
            <w:tcW w:w="3118" w:type="dxa"/>
          </w:tcPr>
          <w:p w14:paraId="44464889" w14:textId="77777777" w:rsidR="002A206A" w:rsidRPr="0089741D" w:rsidRDefault="002A206A" w:rsidP="00433440">
            <w:pPr>
              <w:pStyle w:val="ListParagraph"/>
              <w:ind w:left="0"/>
            </w:pPr>
          </w:p>
        </w:tc>
        <w:tc>
          <w:tcPr>
            <w:tcW w:w="3402" w:type="dxa"/>
          </w:tcPr>
          <w:p w14:paraId="575999B8" w14:textId="77777777" w:rsidR="002A206A" w:rsidRPr="0089741D" w:rsidRDefault="002A206A" w:rsidP="00433440">
            <w:pPr>
              <w:pStyle w:val="ListParagraph"/>
              <w:ind w:left="0"/>
            </w:pPr>
          </w:p>
        </w:tc>
      </w:tr>
      <w:tr w:rsidR="002A206A" w:rsidRPr="0089741D" w14:paraId="60A66294" w14:textId="77777777" w:rsidTr="00DB13FF">
        <w:trPr>
          <w:trHeight w:val="831"/>
        </w:trPr>
        <w:tc>
          <w:tcPr>
            <w:tcW w:w="5382" w:type="dxa"/>
          </w:tcPr>
          <w:p w14:paraId="5A40B2D9" w14:textId="77777777" w:rsidR="002A206A" w:rsidRPr="0089741D" w:rsidRDefault="002A206A" w:rsidP="002A206A">
            <w:pPr>
              <w:pStyle w:val="ListParagraph"/>
              <w:numPr>
                <w:ilvl w:val="0"/>
                <w:numId w:val="15"/>
              </w:numPr>
              <w:jc w:val="left"/>
            </w:pPr>
            <w:r w:rsidRPr="0089741D">
              <w:t xml:space="preserve">If the service limits eligibility criteria or employment for any </w:t>
            </w:r>
            <w:bookmarkStart w:id="2" w:name="_Hlk8118849"/>
            <w:r w:rsidRPr="0089741D">
              <w:t xml:space="preserve">protected personal characteristic, </w:t>
            </w:r>
            <w:bookmarkEnd w:id="2"/>
            <w:r w:rsidRPr="0089741D">
              <w:t>due diligence and evidentiary requirements are met for either a special measure, exception or exemption under the</w:t>
            </w:r>
            <w:r w:rsidRPr="0089741D">
              <w:rPr>
                <w:i/>
                <w:iCs/>
              </w:rPr>
              <w:t xml:space="preserve"> Equal Opportunity Act 2010 </w:t>
            </w:r>
            <w:r w:rsidRPr="0089741D">
              <w:t>(Vic).</w:t>
            </w:r>
          </w:p>
        </w:tc>
        <w:tc>
          <w:tcPr>
            <w:tcW w:w="1134" w:type="dxa"/>
          </w:tcPr>
          <w:p w14:paraId="7F1A273D" w14:textId="77777777" w:rsidR="002A206A" w:rsidRPr="0089741D" w:rsidRDefault="002A206A" w:rsidP="00433440">
            <w:pPr>
              <w:pStyle w:val="ListParagraph"/>
              <w:ind w:left="0"/>
            </w:pPr>
          </w:p>
        </w:tc>
        <w:tc>
          <w:tcPr>
            <w:tcW w:w="3118" w:type="dxa"/>
          </w:tcPr>
          <w:p w14:paraId="29604B65" w14:textId="77777777" w:rsidR="002A206A" w:rsidRPr="0089741D" w:rsidRDefault="002A206A" w:rsidP="00433440">
            <w:pPr>
              <w:pStyle w:val="ListParagraph"/>
              <w:ind w:left="0"/>
            </w:pPr>
          </w:p>
        </w:tc>
        <w:tc>
          <w:tcPr>
            <w:tcW w:w="3261" w:type="dxa"/>
          </w:tcPr>
          <w:p w14:paraId="6E391B75" w14:textId="77777777" w:rsidR="002A206A" w:rsidRPr="0089741D" w:rsidRDefault="002A206A" w:rsidP="00433440">
            <w:pPr>
              <w:pStyle w:val="ListParagraph"/>
              <w:ind w:left="0"/>
            </w:pPr>
          </w:p>
        </w:tc>
        <w:tc>
          <w:tcPr>
            <w:tcW w:w="2126" w:type="dxa"/>
          </w:tcPr>
          <w:p w14:paraId="1FDF596F" w14:textId="77777777" w:rsidR="002A206A" w:rsidRPr="0089741D" w:rsidRDefault="002A206A" w:rsidP="00433440">
            <w:pPr>
              <w:pStyle w:val="ListParagraph"/>
              <w:ind w:left="33"/>
            </w:pPr>
          </w:p>
        </w:tc>
        <w:tc>
          <w:tcPr>
            <w:tcW w:w="3118" w:type="dxa"/>
          </w:tcPr>
          <w:p w14:paraId="5676A99A" w14:textId="77777777" w:rsidR="002A206A" w:rsidRPr="0089741D" w:rsidRDefault="002A206A" w:rsidP="00433440">
            <w:pPr>
              <w:pStyle w:val="ListParagraph"/>
              <w:ind w:left="0"/>
            </w:pPr>
          </w:p>
        </w:tc>
        <w:tc>
          <w:tcPr>
            <w:tcW w:w="3402" w:type="dxa"/>
          </w:tcPr>
          <w:p w14:paraId="21554E37" w14:textId="77777777" w:rsidR="002A206A" w:rsidRPr="0089741D" w:rsidRDefault="002A206A" w:rsidP="00433440">
            <w:pPr>
              <w:pStyle w:val="ListParagraph"/>
              <w:ind w:left="0"/>
            </w:pPr>
          </w:p>
        </w:tc>
      </w:tr>
      <w:tr w:rsidR="002A206A" w:rsidRPr="0089741D" w14:paraId="78F25FD1" w14:textId="77777777" w:rsidTr="00DB13FF">
        <w:trPr>
          <w:trHeight w:val="831"/>
        </w:trPr>
        <w:tc>
          <w:tcPr>
            <w:tcW w:w="5382" w:type="dxa"/>
          </w:tcPr>
          <w:p w14:paraId="6A20B65C" w14:textId="77777777" w:rsidR="002A206A" w:rsidRPr="0089741D" w:rsidRDefault="002A206A" w:rsidP="002A206A">
            <w:pPr>
              <w:pStyle w:val="ListParagraph"/>
              <w:numPr>
                <w:ilvl w:val="0"/>
                <w:numId w:val="15"/>
              </w:numPr>
              <w:jc w:val="left"/>
            </w:pPr>
            <w:r w:rsidRPr="0089741D">
              <w:t>Service access information and eligibility criteria, including any lawful limitations, are clearly communicated to victim-survivors and the general public via its website and service information materials (e.g. brochures, posters, etc.).</w:t>
            </w:r>
          </w:p>
        </w:tc>
        <w:tc>
          <w:tcPr>
            <w:tcW w:w="1134" w:type="dxa"/>
          </w:tcPr>
          <w:p w14:paraId="0400C529" w14:textId="77777777" w:rsidR="002A206A" w:rsidRPr="0089741D" w:rsidRDefault="002A206A" w:rsidP="00433440">
            <w:pPr>
              <w:pStyle w:val="ListParagraph"/>
              <w:ind w:left="0"/>
            </w:pPr>
          </w:p>
        </w:tc>
        <w:tc>
          <w:tcPr>
            <w:tcW w:w="3118" w:type="dxa"/>
          </w:tcPr>
          <w:p w14:paraId="2C98724A" w14:textId="77777777" w:rsidR="002A206A" w:rsidRPr="0089741D" w:rsidRDefault="002A206A" w:rsidP="00433440">
            <w:pPr>
              <w:pStyle w:val="ListParagraph"/>
              <w:ind w:left="0"/>
            </w:pPr>
          </w:p>
        </w:tc>
        <w:tc>
          <w:tcPr>
            <w:tcW w:w="3261" w:type="dxa"/>
          </w:tcPr>
          <w:p w14:paraId="6F6543CB" w14:textId="77777777" w:rsidR="002A206A" w:rsidRPr="0089741D" w:rsidRDefault="002A206A" w:rsidP="00433440">
            <w:pPr>
              <w:pStyle w:val="ListParagraph"/>
              <w:ind w:left="0"/>
            </w:pPr>
          </w:p>
        </w:tc>
        <w:tc>
          <w:tcPr>
            <w:tcW w:w="2126" w:type="dxa"/>
          </w:tcPr>
          <w:p w14:paraId="1AE6A475" w14:textId="77777777" w:rsidR="002A206A" w:rsidRPr="0089741D" w:rsidRDefault="002A206A" w:rsidP="00433440">
            <w:pPr>
              <w:pStyle w:val="ListParagraph"/>
              <w:ind w:left="33"/>
            </w:pPr>
          </w:p>
        </w:tc>
        <w:tc>
          <w:tcPr>
            <w:tcW w:w="3118" w:type="dxa"/>
          </w:tcPr>
          <w:p w14:paraId="1D3FCA96" w14:textId="77777777" w:rsidR="002A206A" w:rsidRPr="0089741D" w:rsidRDefault="002A206A" w:rsidP="00433440">
            <w:pPr>
              <w:pStyle w:val="ListParagraph"/>
              <w:ind w:left="0"/>
            </w:pPr>
          </w:p>
        </w:tc>
        <w:tc>
          <w:tcPr>
            <w:tcW w:w="3402" w:type="dxa"/>
          </w:tcPr>
          <w:p w14:paraId="334BAB2B" w14:textId="77777777" w:rsidR="002A206A" w:rsidRPr="0089741D" w:rsidRDefault="002A206A" w:rsidP="00433440">
            <w:pPr>
              <w:pStyle w:val="ListParagraph"/>
              <w:ind w:left="0"/>
            </w:pPr>
          </w:p>
        </w:tc>
      </w:tr>
      <w:tr w:rsidR="002A206A" w:rsidRPr="0089741D" w14:paraId="51D1D158" w14:textId="77777777" w:rsidTr="00DB13FF">
        <w:trPr>
          <w:trHeight w:val="70"/>
        </w:trPr>
        <w:tc>
          <w:tcPr>
            <w:tcW w:w="5382" w:type="dxa"/>
          </w:tcPr>
          <w:p w14:paraId="0552D4E8" w14:textId="77777777" w:rsidR="002A206A" w:rsidRPr="0089741D" w:rsidRDefault="002A206A" w:rsidP="002A206A">
            <w:pPr>
              <w:pStyle w:val="ListParagraph"/>
              <w:numPr>
                <w:ilvl w:val="0"/>
                <w:numId w:val="15"/>
              </w:numPr>
              <w:jc w:val="left"/>
            </w:pPr>
            <w:r w:rsidRPr="0089741D">
              <w:t>People seeking support for family violence, even if they are ineligible for the particular service, are provided with a minimum response, including a brief risk assessment, safety planning information, and a facilitated referral offer to a relevant agency.</w:t>
            </w:r>
          </w:p>
        </w:tc>
        <w:tc>
          <w:tcPr>
            <w:tcW w:w="1134" w:type="dxa"/>
          </w:tcPr>
          <w:p w14:paraId="55BE850C" w14:textId="77777777" w:rsidR="002A206A" w:rsidRPr="0089741D" w:rsidRDefault="002A206A" w:rsidP="00433440">
            <w:pPr>
              <w:pStyle w:val="ListParagraph"/>
              <w:ind w:left="0"/>
            </w:pPr>
          </w:p>
        </w:tc>
        <w:tc>
          <w:tcPr>
            <w:tcW w:w="3118" w:type="dxa"/>
          </w:tcPr>
          <w:p w14:paraId="0903031E" w14:textId="77777777" w:rsidR="002A206A" w:rsidRPr="0089741D" w:rsidRDefault="002A206A" w:rsidP="00433440">
            <w:pPr>
              <w:pStyle w:val="ListParagraph"/>
              <w:ind w:left="0"/>
            </w:pPr>
          </w:p>
        </w:tc>
        <w:tc>
          <w:tcPr>
            <w:tcW w:w="3261" w:type="dxa"/>
          </w:tcPr>
          <w:p w14:paraId="539B3CA3" w14:textId="77777777" w:rsidR="002A206A" w:rsidRPr="0089741D" w:rsidRDefault="002A206A" w:rsidP="00433440">
            <w:pPr>
              <w:pStyle w:val="ListParagraph"/>
              <w:ind w:left="0"/>
            </w:pPr>
          </w:p>
        </w:tc>
        <w:tc>
          <w:tcPr>
            <w:tcW w:w="2126" w:type="dxa"/>
          </w:tcPr>
          <w:p w14:paraId="05720F89" w14:textId="77777777" w:rsidR="002A206A" w:rsidRPr="0089741D" w:rsidRDefault="002A206A" w:rsidP="00433440">
            <w:pPr>
              <w:pStyle w:val="ListParagraph"/>
              <w:ind w:left="33"/>
            </w:pPr>
          </w:p>
        </w:tc>
        <w:tc>
          <w:tcPr>
            <w:tcW w:w="3118" w:type="dxa"/>
          </w:tcPr>
          <w:p w14:paraId="03CAB7D7" w14:textId="77777777" w:rsidR="002A206A" w:rsidRPr="0089741D" w:rsidRDefault="002A206A" w:rsidP="00433440">
            <w:pPr>
              <w:pStyle w:val="ListParagraph"/>
              <w:ind w:left="0"/>
            </w:pPr>
          </w:p>
        </w:tc>
        <w:tc>
          <w:tcPr>
            <w:tcW w:w="3402" w:type="dxa"/>
          </w:tcPr>
          <w:p w14:paraId="12FB6802" w14:textId="77777777" w:rsidR="002A206A" w:rsidRPr="0089741D" w:rsidRDefault="002A206A" w:rsidP="00433440">
            <w:pPr>
              <w:pStyle w:val="ListParagraph"/>
              <w:ind w:left="0"/>
            </w:pPr>
          </w:p>
        </w:tc>
      </w:tr>
      <w:tr w:rsidR="002A206A" w:rsidRPr="0089741D" w14:paraId="1CEBBD43" w14:textId="77777777" w:rsidTr="00DB13FF">
        <w:trPr>
          <w:trHeight w:val="831"/>
        </w:trPr>
        <w:tc>
          <w:tcPr>
            <w:tcW w:w="5382" w:type="dxa"/>
          </w:tcPr>
          <w:p w14:paraId="7958F4C8" w14:textId="46D2EC54" w:rsidR="002A206A" w:rsidRPr="0089741D" w:rsidRDefault="002A206A" w:rsidP="002A206A">
            <w:pPr>
              <w:pStyle w:val="ListParagraph"/>
              <w:numPr>
                <w:ilvl w:val="0"/>
                <w:numId w:val="15"/>
              </w:numPr>
              <w:jc w:val="left"/>
            </w:pPr>
            <w:r w:rsidRPr="0089741D">
              <w:t>Referral pathways are proactively established with appropriate agencies able to provide responses to persons that are ineligible due to lawful limitations.</w:t>
            </w:r>
          </w:p>
        </w:tc>
        <w:tc>
          <w:tcPr>
            <w:tcW w:w="1134" w:type="dxa"/>
          </w:tcPr>
          <w:p w14:paraId="64B3985C" w14:textId="77777777" w:rsidR="002A206A" w:rsidRPr="0089741D" w:rsidRDefault="002A206A" w:rsidP="00433440">
            <w:pPr>
              <w:pStyle w:val="ListParagraph"/>
              <w:ind w:left="0"/>
            </w:pPr>
          </w:p>
        </w:tc>
        <w:tc>
          <w:tcPr>
            <w:tcW w:w="3118" w:type="dxa"/>
          </w:tcPr>
          <w:p w14:paraId="58E8FD6D" w14:textId="77777777" w:rsidR="002A206A" w:rsidRPr="0089741D" w:rsidRDefault="002A206A" w:rsidP="00433440">
            <w:pPr>
              <w:pStyle w:val="ListParagraph"/>
              <w:ind w:left="0"/>
            </w:pPr>
          </w:p>
        </w:tc>
        <w:tc>
          <w:tcPr>
            <w:tcW w:w="3261" w:type="dxa"/>
          </w:tcPr>
          <w:p w14:paraId="7D4F3009" w14:textId="77777777" w:rsidR="002A206A" w:rsidRPr="0089741D" w:rsidRDefault="002A206A" w:rsidP="00433440">
            <w:pPr>
              <w:pStyle w:val="ListParagraph"/>
              <w:ind w:left="0"/>
            </w:pPr>
          </w:p>
        </w:tc>
        <w:tc>
          <w:tcPr>
            <w:tcW w:w="2126" w:type="dxa"/>
          </w:tcPr>
          <w:p w14:paraId="61F2C99F" w14:textId="77777777" w:rsidR="002A206A" w:rsidRPr="0089741D" w:rsidRDefault="002A206A" w:rsidP="00433440">
            <w:pPr>
              <w:pStyle w:val="ListParagraph"/>
              <w:ind w:left="33"/>
            </w:pPr>
          </w:p>
        </w:tc>
        <w:tc>
          <w:tcPr>
            <w:tcW w:w="3118" w:type="dxa"/>
          </w:tcPr>
          <w:p w14:paraId="3A2DB872" w14:textId="77777777" w:rsidR="002A206A" w:rsidRPr="0089741D" w:rsidRDefault="002A206A" w:rsidP="00433440">
            <w:pPr>
              <w:pStyle w:val="ListParagraph"/>
              <w:ind w:left="0"/>
            </w:pPr>
          </w:p>
        </w:tc>
        <w:tc>
          <w:tcPr>
            <w:tcW w:w="3402" w:type="dxa"/>
          </w:tcPr>
          <w:p w14:paraId="0709C589" w14:textId="77777777" w:rsidR="002A206A" w:rsidRPr="0089741D" w:rsidRDefault="002A206A" w:rsidP="00433440">
            <w:pPr>
              <w:pStyle w:val="ListParagraph"/>
              <w:ind w:left="0"/>
            </w:pPr>
          </w:p>
        </w:tc>
      </w:tr>
    </w:tbl>
    <w:p w14:paraId="256BBCCE" w14:textId="3136E941" w:rsidR="002A206A" w:rsidRDefault="002A206A" w:rsidP="00FD4A08"/>
    <w:p w14:paraId="229F21DB" w14:textId="27261D8F" w:rsidR="002A206A" w:rsidRDefault="002A206A" w:rsidP="002A206A">
      <w:pPr>
        <w:pStyle w:val="Heading3"/>
      </w:pPr>
      <w:r>
        <w:t xml:space="preserve">Standard </w:t>
      </w:r>
      <w:r w:rsidRPr="0089741D">
        <w:t>8.2 The service pro-actively integrates inclusion and equity into service design and delivery.</w:t>
      </w:r>
    </w:p>
    <w:p w14:paraId="72BAD24A" w14:textId="77777777" w:rsidR="002A206A" w:rsidRPr="0089741D" w:rsidRDefault="002A206A" w:rsidP="002A206A">
      <w:r w:rsidRPr="0089741D">
        <w:t xml:space="preserve">HSS: (2) Access and engagement; (3) Wellbeing; (4) Participation </w:t>
      </w:r>
    </w:p>
    <w:p w14:paraId="7C48C4A6" w14:textId="6E99E62D" w:rsidR="002A206A" w:rsidRDefault="002A206A" w:rsidP="002A206A">
      <w:r w:rsidRPr="0089741D">
        <w:t>QGF</w:t>
      </w:r>
      <w:r>
        <w:t xml:space="preserve"> domains</w:t>
      </w:r>
      <w:r w:rsidRPr="0089741D">
        <w:t>:</w:t>
      </w:r>
      <w:r>
        <w:t xml:space="preserve"> Client and family partnerships; Workforce; Best Practice</w:t>
      </w:r>
    </w:p>
    <w:p w14:paraId="212050E6" w14:textId="6FCC4777" w:rsidR="002A206A" w:rsidRDefault="002A206A" w:rsidP="002A206A"/>
    <w:tbl>
      <w:tblPr>
        <w:tblStyle w:val="TableGridLight"/>
        <w:tblW w:w="21541" w:type="dxa"/>
        <w:tblLook w:val="0020" w:firstRow="1" w:lastRow="0" w:firstColumn="0" w:lastColumn="0" w:noHBand="0" w:noVBand="0"/>
      </w:tblPr>
      <w:tblGrid>
        <w:gridCol w:w="5382"/>
        <w:gridCol w:w="1134"/>
        <w:gridCol w:w="3118"/>
        <w:gridCol w:w="3261"/>
        <w:gridCol w:w="2126"/>
        <w:gridCol w:w="3118"/>
        <w:gridCol w:w="3402"/>
      </w:tblGrid>
      <w:tr w:rsidR="002A206A" w:rsidRPr="0089741D" w14:paraId="1E337AF0" w14:textId="77777777" w:rsidTr="00DB13FF">
        <w:trPr>
          <w:trHeight w:val="70"/>
        </w:trPr>
        <w:tc>
          <w:tcPr>
            <w:tcW w:w="5382" w:type="dxa"/>
            <w:shd w:val="clear" w:color="auto" w:fill="F2F2F2" w:themeFill="background1" w:themeFillShade="F2"/>
          </w:tcPr>
          <w:p w14:paraId="19647802" w14:textId="77777777" w:rsidR="002A206A" w:rsidRPr="0089741D" w:rsidRDefault="002A206A" w:rsidP="00DB13FF">
            <w:r w:rsidRPr="0089741D">
              <w:t>INDICATORS</w:t>
            </w:r>
          </w:p>
        </w:tc>
        <w:tc>
          <w:tcPr>
            <w:tcW w:w="1134" w:type="dxa"/>
            <w:shd w:val="clear" w:color="auto" w:fill="F2F2F2" w:themeFill="background1" w:themeFillShade="F2"/>
          </w:tcPr>
          <w:p w14:paraId="3E5CA46B" w14:textId="77777777" w:rsidR="002A206A" w:rsidRPr="0089741D" w:rsidRDefault="002A206A" w:rsidP="00DB13FF">
            <w:r w:rsidRPr="0089741D">
              <w:t>RATING</w:t>
            </w:r>
          </w:p>
        </w:tc>
        <w:tc>
          <w:tcPr>
            <w:tcW w:w="3118" w:type="dxa"/>
            <w:shd w:val="clear" w:color="auto" w:fill="F2F2F2" w:themeFill="background1" w:themeFillShade="F2"/>
          </w:tcPr>
          <w:p w14:paraId="031C5F7D" w14:textId="77777777" w:rsidR="002A206A" w:rsidRPr="0089741D" w:rsidRDefault="002A206A" w:rsidP="00DB13FF">
            <w:r w:rsidRPr="0089741D">
              <w:t>EVIDENCE</w:t>
            </w:r>
          </w:p>
        </w:tc>
        <w:tc>
          <w:tcPr>
            <w:tcW w:w="3261" w:type="dxa"/>
            <w:shd w:val="clear" w:color="auto" w:fill="F2F2F2" w:themeFill="background1" w:themeFillShade="F2"/>
          </w:tcPr>
          <w:p w14:paraId="7287DDE1" w14:textId="77777777" w:rsidR="002A206A" w:rsidRPr="0089741D" w:rsidRDefault="002A206A" w:rsidP="00DB13FF">
            <w:r w:rsidRPr="0089741D">
              <w:t xml:space="preserve">IMPROVEMENT ACTIONS </w:t>
            </w:r>
          </w:p>
        </w:tc>
        <w:tc>
          <w:tcPr>
            <w:tcW w:w="2126" w:type="dxa"/>
            <w:shd w:val="clear" w:color="auto" w:fill="F2F2F2" w:themeFill="background1" w:themeFillShade="F2"/>
          </w:tcPr>
          <w:p w14:paraId="6157E5AB" w14:textId="77777777" w:rsidR="002A206A" w:rsidRPr="0089741D" w:rsidRDefault="002A206A" w:rsidP="00DB13FF">
            <w:r w:rsidRPr="0089741D">
              <w:t>TIMEFRAME</w:t>
            </w:r>
          </w:p>
        </w:tc>
        <w:tc>
          <w:tcPr>
            <w:tcW w:w="3118" w:type="dxa"/>
            <w:shd w:val="clear" w:color="auto" w:fill="F2F2F2" w:themeFill="background1" w:themeFillShade="F2"/>
          </w:tcPr>
          <w:p w14:paraId="0412B54E" w14:textId="77777777" w:rsidR="002A206A" w:rsidRPr="0089741D" w:rsidRDefault="002A206A" w:rsidP="00DB13FF">
            <w:r w:rsidRPr="0089741D">
              <w:t>PERSON(S) RESPONSIBLE</w:t>
            </w:r>
          </w:p>
        </w:tc>
        <w:tc>
          <w:tcPr>
            <w:tcW w:w="3402" w:type="dxa"/>
            <w:shd w:val="clear" w:color="auto" w:fill="F2F2F2" w:themeFill="background1" w:themeFillShade="F2"/>
          </w:tcPr>
          <w:p w14:paraId="5CC21F31" w14:textId="77777777" w:rsidR="002A206A" w:rsidRPr="0089741D" w:rsidRDefault="002A206A" w:rsidP="00DB13FF">
            <w:r w:rsidRPr="0089741D">
              <w:t>OUTCOME</w:t>
            </w:r>
          </w:p>
        </w:tc>
      </w:tr>
      <w:tr w:rsidR="002A206A" w:rsidRPr="0089741D" w14:paraId="1ADDBA5E" w14:textId="77777777" w:rsidTr="00DB13FF">
        <w:trPr>
          <w:trHeight w:val="463"/>
        </w:trPr>
        <w:tc>
          <w:tcPr>
            <w:tcW w:w="5382" w:type="dxa"/>
          </w:tcPr>
          <w:p w14:paraId="37FFFE63" w14:textId="77777777" w:rsidR="002A206A" w:rsidRPr="0089741D" w:rsidRDefault="002A206A" w:rsidP="002A206A">
            <w:pPr>
              <w:pStyle w:val="ListParagraph"/>
              <w:numPr>
                <w:ilvl w:val="0"/>
                <w:numId w:val="17"/>
              </w:numPr>
              <w:jc w:val="left"/>
            </w:pPr>
            <w:r w:rsidRPr="0089741D">
              <w:t xml:space="preserve">The service environment is welcoming and approachable for victim-survivors from a range of diverse communities and age groups. </w:t>
            </w:r>
          </w:p>
        </w:tc>
        <w:tc>
          <w:tcPr>
            <w:tcW w:w="1134" w:type="dxa"/>
          </w:tcPr>
          <w:p w14:paraId="72CEF474" w14:textId="77777777" w:rsidR="002A206A" w:rsidRPr="0089741D" w:rsidRDefault="002A206A" w:rsidP="00433440"/>
        </w:tc>
        <w:tc>
          <w:tcPr>
            <w:tcW w:w="3118" w:type="dxa"/>
          </w:tcPr>
          <w:p w14:paraId="0884F3D7" w14:textId="77777777" w:rsidR="002A206A" w:rsidRPr="0089741D" w:rsidRDefault="002A206A" w:rsidP="00433440"/>
        </w:tc>
        <w:tc>
          <w:tcPr>
            <w:tcW w:w="3261" w:type="dxa"/>
          </w:tcPr>
          <w:p w14:paraId="6F8B2F95" w14:textId="77777777" w:rsidR="002A206A" w:rsidRPr="0089741D" w:rsidRDefault="002A206A" w:rsidP="00433440"/>
        </w:tc>
        <w:tc>
          <w:tcPr>
            <w:tcW w:w="2126" w:type="dxa"/>
          </w:tcPr>
          <w:p w14:paraId="49AD54F9" w14:textId="77777777" w:rsidR="002A206A" w:rsidRPr="0089741D" w:rsidRDefault="002A206A" w:rsidP="00433440"/>
        </w:tc>
        <w:tc>
          <w:tcPr>
            <w:tcW w:w="3118" w:type="dxa"/>
          </w:tcPr>
          <w:p w14:paraId="19A1B963" w14:textId="77777777" w:rsidR="002A206A" w:rsidRPr="0089741D" w:rsidRDefault="002A206A" w:rsidP="00433440"/>
        </w:tc>
        <w:tc>
          <w:tcPr>
            <w:tcW w:w="3402" w:type="dxa"/>
          </w:tcPr>
          <w:p w14:paraId="6C51D823" w14:textId="77777777" w:rsidR="002A206A" w:rsidRPr="0089741D" w:rsidRDefault="002A206A" w:rsidP="00433440"/>
        </w:tc>
      </w:tr>
      <w:tr w:rsidR="002A206A" w:rsidRPr="0089741D" w14:paraId="24E5E536" w14:textId="77777777" w:rsidTr="00DB13FF">
        <w:trPr>
          <w:trHeight w:val="644"/>
        </w:trPr>
        <w:tc>
          <w:tcPr>
            <w:tcW w:w="5382" w:type="dxa"/>
          </w:tcPr>
          <w:p w14:paraId="4743612B" w14:textId="77777777" w:rsidR="002A206A" w:rsidRPr="0089741D" w:rsidRDefault="002A206A" w:rsidP="002A206A">
            <w:pPr>
              <w:pStyle w:val="ListParagraph"/>
              <w:numPr>
                <w:ilvl w:val="0"/>
                <w:numId w:val="17"/>
              </w:numPr>
              <w:jc w:val="left"/>
            </w:pPr>
            <w:r w:rsidRPr="0089741D">
              <w:t xml:space="preserve">Strategies are implemented to pro-actively recruit and support staff, managers and board members that reflect the diversity of the community they serve. </w:t>
            </w:r>
          </w:p>
        </w:tc>
        <w:tc>
          <w:tcPr>
            <w:tcW w:w="1134" w:type="dxa"/>
          </w:tcPr>
          <w:p w14:paraId="7EF39139" w14:textId="77777777" w:rsidR="002A206A" w:rsidRPr="0089741D" w:rsidRDefault="002A206A" w:rsidP="00433440">
            <w:pPr>
              <w:pStyle w:val="ListParagraph"/>
              <w:ind w:left="0"/>
            </w:pPr>
          </w:p>
        </w:tc>
        <w:tc>
          <w:tcPr>
            <w:tcW w:w="3118" w:type="dxa"/>
          </w:tcPr>
          <w:p w14:paraId="61173968" w14:textId="77777777" w:rsidR="002A206A" w:rsidRPr="0089741D" w:rsidRDefault="002A206A" w:rsidP="00433440">
            <w:pPr>
              <w:pStyle w:val="ListParagraph"/>
              <w:ind w:left="0"/>
            </w:pPr>
          </w:p>
        </w:tc>
        <w:tc>
          <w:tcPr>
            <w:tcW w:w="3261" w:type="dxa"/>
          </w:tcPr>
          <w:p w14:paraId="530234CE" w14:textId="77777777" w:rsidR="002A206A" w:rsidRPr="0089741D" w:rsidRDefault="002A206A" w:rsidP="00433440">
            <w:pPr>
              <w:pStyle w:val="ListParagraph"/>
              <w:ind w:left="0"/>
            </w:pPr>
          </w:p>
        </w:tc>
        <w:tc>
          <w:tcPr>
            <w:tcW w:w="2126" w:type="dxa"/>
          </w:tcPr>
          <w:p w14:paraId="16B09D81" w14:textId="77777777" w:rsidR="002A206A" w:rsidRPr="0089741D" w:rsidRDefault="002A206A" w:rsidP="00433440">
            <w:pPr>
              <w:pStyle w:val="ListParagraph"/>
              <w:ind w:left="0"/>
            </w:pPr>
          </w:p>
        </w:tc>
        <w:tc>
          <w:tcPr>
            <w:tcW w:w="3118" w:type="dxa"/>
          </w:tcPr>
          <w:p w14:paraId="1097091A" w14:textId="77777777" w:rsidR="002A206A" w:rsidRPr="0089741D" w:rsidRDefault="002A206A" w:rsidP="00433440">
            <w:pPr>
              <w:pStyle w:val="ListParagraph"/>
              <w:ind w:left="0"/>
            </w:pPr>
          </w:p>
        </w:tc>
        <w:tc>
          <w:tcPr>
            <w:tcW w:w="3402" w:type="dxa"/>
          </w:tcPr>
          <w:p w14:paraId="0D44D682" w14:textId="77777777" w:rsidR="002A206A" w:rsidRPr="0089741D" w:rsidRDefault="002A206A" w:rsidP="00433440">
            <w:pPr>
              <w:pStyle w:val="ListParagraph"/>
              <w:ind w:left="0"/>
            </w:pPr>
          </w:p>
        </w:tc>
      </w:tr>
      <w:tr w:rsidR="002A206A" w:rsidRPr="0089741D" w14:paraId="26397817" w14:textId="77777777" w:rsidTr="00DB13FF">
        <w:trPr>
          <w:trHeight w:val="702"/>
        </w:trPr>
        <w:tc>
          <w:tcPr>
            <w:tcW w:w="5382" w:type="dxa"/>
          </w:tcPr>
          <w:p w14:paraId="229713FF" w14:textId="77777777" w:rsidR="002A206A" w:rsidRPr="0089741D" w:rsidRDefault="002A206A" w:rsidP="002A206A">
            <w:pPr>
              <w:pStyle w:val="ListParagraph"/>
              <w:numPr>
                <w:ilvl w:val="0"/>
                <w:numId w:val="17"/>
              </w:numPr>
              <w:jc w:val="left"/>
            </w:pPr>
            <w:r w:rsidRPr="0089741D">
              <w:t xml:space="preserve">Family violence risk assessment and risk management processes involving people from diverse communities and age groups are undertaken according to the </w:t>
            </w:r>
            <w:r w:rsidRPr="0089741D">
              <w:rPr>
                <w:i/>
                <w:iCs/>
              </w:rPr>
              <w:t>MARAM Framework</w:t>
            </w:r>
            <w:r w:rsidRPr="0089741D">
              <w:t xml:space="preserve"> practice guidance.</w:t>
            </w:r>
          </w:p>
        </w:tc>
        <w:tc>
          <w:tcPr>
            <w:tcW w:w="1134" w:type="dxa"/>
          </w:tcPr>
          <w:p w14:paraId="18E6ED23" w14:textId="77777777" w:rsidR="002A206A" w:rsidRPr="0089741D" w:rsidRDefault="002A206A" w:rsidP="00433440">
            <w:pPr>
              <w:pStyle w:val="ListParagraph"/>
              <w:ind w:left="0"/>
            </w:pPr>
          </w:p>
        </w:tc>
        <w:tc>
          <w:tcPr>
            <w:tcW w:w="3118" w:type="dxa"/>
          </w:tcPr>
          <w:p w14:paraId="6E2426D6" w14:textId="77777777" w:rsidR="002A206A" w:rsidRPr="0089741D" w:rsidRDefault="002A206A" w:rsidP="00433440">
            <w:pPr>
              <w:pStyle w:val="ListParagraph"/>
              <w:ind w:left="0"/>
            </w:pPr>
          </w:p>
        </w:tc>
        <w:tc>
          <w:tcPr>
            <w:tcW w:w="3261" w:type="dxa"/>
          </w:tcPr>
          <w:p w14:paraId="7BF2D8C0" w14:textId="77777777" w:rsidR="002A206A" w:rsidRPr="0089741D" w:rsidRDefault="002A206A" w:rsidP="00433440">
            <w:pPr>
              <w:pStyle w:val="ListParagraph"/>
              <w:ind w:left="0"/>
            </w:pPr>
          </w:p>
        </w:tc>
        <w:tc>
          <w:tcPr>
            <w:tcW w:w="2126" w:type="dxa"/>
          </w:tcPr>
          <w:p w14:paraId="2E722514" w14:textId="77777777" w:rsidR="002A206A" w:rsidRPr="0089741D" w:rsidRDefault="002A206A" w:rsidP="00433440">
            <w:pPr>
              <w:pStyle w:val="ListParagraph"/>
              <w:ind w:left="0"/>
            </w:pPr>
          </w:p>
        </w:tc>
        <w:tc>
          <w:tcPr>
            <w:tcW w:w="3118" w:type="dxa"/>
          </w:tcPr>
          <w:p w14:paraId="6C053652" w14:textId="77777777" w:rsidR="002A206A" w:rsidRPr="0089741D" w:rsidRDefault="002A206A" w:rsidP="00433440">
            <w:pPr>
              <w:pStyle w:val="ListParagraph"/>
              <w:ind w:left="0"/>
            </w:pPr>
          </w:p>
        </w:tc>
        <w:tc>
          <w:tcPr>
            <w:tcW w:w="3402" w:type="dxa"/>
          </w:tcPr>
          <w:p w14:paraId="1F01E1A0" w14:textId="77777777" w:rsidR="002A206A" w:rsidRPr="0089741D" w:rsidRDefault="002A206A" w:rsidP="00433440">
            <w:pPr>
              <w:pStyle w:val="ListParagraph"/>
              <w:ind w:left="0"/>
            </w:pPr>
          </w:p>
        </w:tc>
      </w:tr>
      <w:tr w:rsidR="002A206A" w:rsidRPr="0089741D" w14:paraId="40F452E3" w14:textId="77777777" w:rsidTr="00DB13FF">
        <w:trPr>
          <w:trHeight w:val="1395"/>
        </w:trPr>
        <w:tc>
          <w:tcPr>
            <w:tcW w:w="5382" w:type="dxa"/>
          </w:tcPr>
          <w:p w14:paraId="05C0D058" w14:textId="77777777" w:rsidR="002A206A" w:rsidRPr="0089741D" w:rsidRDefault="002A206A" w:rsidP="002A206A">
            <w:pPr>
              <w:pStyle w:val="ListParagraph"/>
              <w:numPr>
                <w:ilvl w:val="0"/>
                <w:numId w:val="17"/>
              </w:numPr>
              <w:jc w:val="left"/>
            </w:pPr>
            <w:r w:rsidRPr="0089741D">
              <w:lastRenderedPageBreak/>
              <w:t xml:space="preserve">Victim-survivors experiencing interrelated family violence, mental health issues, alcohol and drug issues, temporary residency status, disability and other ‘complex needs’ are provided with inclusive and equitable services. </w:t>
            </w:r>
          </w:p>
        </w:tc>
        <w:tc>
          <w:tcPr>
            <w:tcW w:w="1134" w:type="dxa"/>
          </w:tcPr>
          <w:p w14:paraId="5105661B" w14:textId="77777777" w:rsidR="002A206A" w:rsidRPr="0089741D" w:rsidRDefault="002A206A" w:rsidP="00433440">
            <w:pPr>
              <w:pStyle w:val="ListParagraph"/>
              <w:ind w:left="33"/>
            </w:pPr>
          </w:p>
        </w:tc>
        <w:tc>
          <w:tcPr>
            <w:tcW w:w="3118" w:type="dxa"/>
          </w:tcPr>
          <w:p w14:paraId="572B051B" w14:textId="77777777" w:rsidR="002A206A" w:rsidRPr="0089741D" w:rsidRDefault="002A206A" w:rsidP="00433440">
            <w:pPr>
              <w:pStyle w:val="ListParagraph"/>
              <w:ind w:left="0"/>
            </w:pPr>
          </w:p>
        </w:tc>
        <w:tc>
          <w:tcPr>
            <w:tcW w:w="3261" w:type="dxa"/>
          </w:tcPr>
          <w:p w14:paraId="286FBAD8" w14:textId="77777777" w:rsidR="002A206A" w:rsidRPr="0089741D" w:rsidRDefault="002A206A" w:rsidP="00433440">
            <w:pPr>
              <w:pStyle w:val="ListParagraph"/>
              <w:ind w:left="0"/>
            </w:pPr>
          </w:p>
        </w:tc>
        <w:tc>
          <w:tcPr>
            <w:tcW w:w="2126" w:type="dxa"/>
          </w:tcPr>
          <w:p w14:paraId="615FC8BC" w14:textId="77777777" w:rsidR="002A206A" w:rsidRPr="0089741D" w:rsidRDefault="002A206A" w:rsidP="00433440">
            <w:pPr>
              <w:pStyle w:val="ListParagraph"/>
              <w:ind w:left="0"/>
            </w:pPr>
          </w:p>
        </w:tc>
        <w:tc>
          <w:tcPr>
            <w:tcW w:w="3118" w:type="dxa"/>
          </w:tcPr>
          <w:p w14:paraId="32A4AD17" w14:textId="77777777" w:rsidR="002A206A" w:rsidRPr="0089741D" w:rsidRDefault="002A206A" w:rsidP="00433440">
            <w:pPr>
              <w:pStyle w:val="ListParagraph"/>
              <w:ind w:left="36"/>
            </w:pPr>
          </w:p>
        </w:tc>
        <w:tc>
          <w:tcPr>
            <w:tcW w:w="3402" w:type="dxa"/>
          </w:tcPr>
          <w:p w14:paraId="72910832" w14:textId="77777777" w:rsidR="002A206A" w:rsidRPr="0089741D" w:rsidRDefault="002A206A" w:rsidP="00433440">
            <w:pPr>
              <w:pStyle w:val="ListParagraph"/>
              <w:ind w:left="34"/>
            </w:pPr>
          </w:p>
        </w:tc>
      </w:tr>
      <w:tr w:rsidR="002A206A" w:rsidRPr="0089741D" w14:paraId="1AF01C37" w14:textId="77777777" w:rsidTr="00DB13FF">
        <w:trPr>
          <w:trHeight w:val="1276"/>
        </w:trPr>
        <w:tc>
          <w:tcPr>
            <w:tcW w:w="5382" w:type="dxa"/>
          </w:tcPr>
          <w:p w14:paraId="781C9784" w14:textId="77777777" w:rsidR="002A206A" w:rsidRPr="0089741D" w:rsidRDefault="002A206A" w:rsidP="002A206A">
            <w:pPr>
              <w:pStyle w:val="ListParagraph"/>
              <w:numPr>
                <w:ilvl w:val="0"/>
                <w:numId w:val="17"/>
              </w:numPr>
              <w:jc w:val="left"/>
            </w:pPr>
            <w:r w:rsidRPr="0089741D">
              <w:t>The social model of disability approach is used to proactively address accessibility requirements and implement flexible responses for people with disability, including provisions for the use of mobility aids, communication devices and assistance animals.</w:t>
            </w:r>
          </w:p>
        </w:tc>
        <w:tc>
          <w:tcPr>
            <w:tcW w:w="1134" w:type="dxa"/>
          </w:tcPr>
          <w:p w14:paraId="7BEDA6F9" w14:textId="77777777" w:rsidR="002A206A" w:rsidRPr="0089741D" w:rsidRDefault="002A206A" w:rsidP="00433440">
            <w:pPr>
              <w:pStyle w:val="ListParagraph"/>
              <w:ind w:left="33"/>
            </w:pPr>
          </w:p>
        </w:tc>
        <w:tc>
          <w:tcPr>
            <w:tcW w:w="3118" w:type="dxa"/>
          </w:tcPr>
          <w:p w14:paraId="672BA0C1" w14:textId="77777777" w:rsidR="002A206A" w:rsidRPr="0089741D" w:rsidRDefault="002A206A" w:rsidP="00433440">
            <w:pPr>
              <w:pStyle w:val="ListParagraph"/>
              <w:ind w:left="0"/>
            </w:pPr>
          </w:p>
        </w:tc>
        <w:tc>
          <w:tcPr>
            <w:tcW w:w="3261" w:type="dxa"/>
          </w:tcPr>
          <w:p w14:paraId="0FC30786" w14:textId="77777777" w:rsidR="002A206A" w:rsidRPr="0089741D" w:rsidRDefault="002A206A" w:rsidP="00433440">
            <w:pPr>
              <w:pStyle w:val="ListParagraph"/>
              <w:ind w:left="0"/>
            </w:pPr>
          </w:p>
        </w:tc>
        <w:tc>
          <w:tcPr>
            <w:tcW w:w="2126" w:type="dxa"/>
          </w:tcPr>
          <w:p w14:paraId="48045960" w14:textId="77777777" w:rsidR="002A206A" w:rsidRPr="0089741D" w:rsidRDefault="002A206A" w:rsidP="00433440">
            <w:pPr>
              <w:pStyle w:val="ListParagraph"/>
              <w:ind w:left="0"/>
            </w:pPr>
          </w:p>
        </w:tc>
        <w:tc>
          <w:tcPr>
            <w:tcW w:w="3118" w:type="dxa"/>
          </w:tcPr>
          <w:p w14:paraId="69E58C78" w14:textId="77777777" w:rsidR="002A206A" w:rsidRPr="0089741D" w:rsidRDefault="002A206A" w:rsidP="00433440">
            <w:pPr>
              <w:pStyle w:val="ListParagraph"/>
              <w:ind w:left="36"/>
            </w:pPr>
          </w:p>
        </w:tc>
        <w:tc>
          <w:tcPr>
            <w:tcW w:w="3402" w:type="dxa"/>
          </w:tcPr>
          <w:p w14:paraId="264AB435" w14:textId="77777777" w:rsidR="002A206A" w:rsidRPr="0089741D" w:rsidRDefault="002A206A" w:rsidP="00433440">
            <w:pPr>
              <w:pStyle w:val="ListParagraph"/>
              <w:ind w:left="34"/>
            </w:pPr>
          </w:p>
        </w:tc>
      </w:tr>
      <w:tr w:rsidR="002A206A" w:rsidRPr="0089741D" w14:paraId="52BA6D77" w14:textId="77777777" w:rsidTr="00DB13FF">
        <w:trPr>
          <w:trHeight w:val="1068"/>
        </w:trPr>
        <w:tc>
          <w:tcPr>
            <w:tcW w:w="5382" w:type="dxa"/>
          </w:tcPr>
          <w:p w14:paraId="08771DFC" w14:textId="57BD13E4" w:rsidR="002A206A" w:rsidRPr="0089741D" w:rsidRDefault="002A206A" w:rsidP="002A206A">
            <w:pPr>
              <w:pStyle w:val="ListParagraph"/>
              <w:numPr>
                <w:ilvl w:val="0"/>
                <w:numId w:val="17"/>
              </w:numPr>
              <w:jc w:val="left"/>
            </w:pPr>
            <w:r w:rsidRPr="0089741D">
              <w:t xml:space="preserve">Partnerships with services that represent diverse </w:t>
            </w:r>
            <w:r>
              <w:t>communities</w:t>
            </w:r>
            <w:r w:rsidRPr="0089741D">
              <w:t xml:space="preserve"> and age groups are implemented to inform service design and enable coordinated responses.</w:t>
            </w:r>
          </w:p>
        </w:tc>
        <w:tc>
          <w:tcPr>
            <w:tcW w:w="1134" w:type="dxa"/>
          </w:tcPr>
          <w:p w14:paraId="5CC60245" w14:textId="77777777" w:rsidR="002A206A" w:rsidRPr="0089741D" w:rsidRDefault="002A206A" w:rsidP="00433440">
            <w:pPr>
              <w:pStyle w:val="ListParagraph"/>
              <w:ind w:left="33"/>
            </w:pPr>
          </w:p>
        </w:tc>
        <w:tc>
          <w:tcPr>
            <w:tcW w:w="3118" w:type="dxa"/>
          </w:tcPr>
          <w:p w14:paraId="3351F3F9" w14:textId="77777777" w:rsidR="002A206A" w:rsidRPr="0089741D" w:rsidRDefault="002A206A" w:rsidP="00433440">
            <w:pPr>
              <w:pStyle w:val="ListParagraph"/>
              <w:ind w:left="0"/>
            </w:pPr>
          </w:p>
        </w:tc>
        <w:tc>
          <w:tcPr>
            <w:tcW w:w="3261" w:type="dxa"/>
          </w:tcPr>
          <w:p w14:paraId="6A09684D" w14:textId="77777777" w:rsidR="002A206A" w:rsidRPr="0089741D" w:rsidRDefault="002A206A" w:rsidP="00433440">
            <w:pPr>
              <w:pStyle w:val="ListParagraph"/>
              <w:ind w:left="0"/>
            </w:pPr>
          </w:p>
        </w:tc>
        <w:tc>
          <w:tcPr>
            <w:tcW w:w="2126" w:type="dxa"/>
          </w:tcPr>
          <w:p w14:paraId="05F351CE" w14:textId="77777777" w:rsidR="002A206A" w:rsidRPr="0089741D" w:rsidRDefault="002A206A" w:rsidP="00433440">
            <w:pPr>
              <w:pStyle w:val="ListParagraph"/>
              <w:ind w:left="0"/>
            </w:pPr>
          </w:p>
        </w:tc>
        <w:tc>
          <w:tcPr>
            <w:tcW w:w="3118" w:type="dxa"/>
          </w:tcPr>
          <w:p w14:paraId="6295FAAA" w14:textId="77777777" w:rsidR="002A206A" w:rsidRPr="0089741D" w:rsidRDefault="002A206A" w:rsidP="00433440">
            <w:pPr>
              <w:pStyle w:val="ListParagraph"/>
              <w:ind w:left="36"/>
            </w:pPr>
          </w:p>
        </w:tc>
        <w:tc>
          <w:tcPr>
            <w:tcW w:w="3402" w:type="dxa"/>
          </w:tcPr>
          <w:p w14:paraId="2EBE39C1" w14:textId="77777777" w:rsidR="002A206A" w:rsidRPr="0089741D" w:rsidRDefault="002A206A" w:rsidP="00433440">
            <w:pPr>
              <w:pStyle w:val="ListParagraph"/>
              <w:ind w:left="34"/>
            </w:pPr>
          </w:p>
        </w:tc>
      </w:tr>
      <w:tr w:rsidR="002A206A" w:rsidRPr="0089741D" w14:paraId="76926444" w14:textId="77777777" w:rsidTr="00DB13FF">
        <w:trPr>
          <w:trHeight w:val="838"/>
        </w:trPr>
        <w:tc>
          <w:tcPr>
            <w:tcW w:w="5382" w:type="dxa"/>
          </w:tcPr>
          <w:p w14:paraId="55064B97" w14:textId="77777777" w:rsidR="002A206A" w:rsidRPr="0089741D" w:rsidRDefault="002A206A" w:rsidP="002A206A">
            <w:pPr>
              <w:pStyle w:val="ListParagraph"/>
              <w:numPr>
                <w:ilvl w:val="0"/>
                <w:numId w:val="17"/>
              </w:numPr>
              <w:jc w:val="left"/>
            </w:pPr>
            <w:r w:rsidRPr="0089741D">
              <w:t>Professional development includes training and/or resources by organisations with expertise in enhancing inclusion, equity and cultural safety.</w:t>
            </w:r>
          </w:p>
        </w:tc>
        <w:tc>
          <w:tcPr>
            <w:tcW w:w="1134" w:type="dxa"/>
          </w:tcPr>
          <w:p w14:paraId="6D8EC621" w14:textId="77777777" w:rsidR="002A206A" w:rsidRPr="0089741D" w:rsidRDefault="002A206A" w:rsidP="00433440">
            <w:pPr>
              <w:pStyle w:val="ListParagraph"/>
              <w:ind w:left="33"/>
            </w:pPr>
          </w:p>
        </w:tc>
        <w:tc>
          <w:tcPr>
            <w:tcW w:w="3118" w:type="dxa"/>
          </w:tcPr>
          <w:p w14:paraId="1953DDDF" w14:textId="77777777" w:rsidR="002A206A" w:rsidRPr="0089741D" w:rsidRDefault="002A206A" w:rsidP="00433440">
            <w:pPr>
              <w:pStyle w:val="ListParagraph"/>
              <w:ind w:left="0"/>
            </w:pPr>
          </w:p>
        </w:tc>
        <w:tc>
          <w:tcPr>
            <w:tcW w:w="3261" w:type="dxa"/>
          </w:tcPr>
          <w:p w14:paraId="41736D7B" w14:textId="77777777" w:rsidR="002A206A" w:rsidRPr="0089741D" w:rsidRDefault="002A206A" w:rsidP="00433440">
            <w:pPr>
              <w:pStyle w:val="ListParagraph"/>
              <w:ind w:left="0"/>
            </w:pPr>
          </w:p>
        </w:tc>
        <w:tc>
          <w:tcPr>
            <w:tcW w:w="2126" w:type="dxa"/>
          </w:tcPr>
          <w:p w14:paraId="043BEDBD" w14:textId="77777777" w:rsidR="002A206A" w:rsidRPr="0089741D" w:rsidRDefault="002A206A" w:rsidP="00433440">
            <w:pPr>
              <w:pStyle w:val="ListParagraph"/>
              <w:ind w:left="0"/>
            </w:pPr>
          </w:p>
        </w:tc>
        <w:tc>
          <w:tcPr>
            <w:tcW w:w="3118" w:type="dxa"/>
          </w:tcPr>
          <w:p w14:paraId="0A1C2E46" w14:textId="77777777" w:rsidR="002A206A" w:rsidRPr="0089741D" w:rsidRDefault="002A206A" w:rsidP="00433440">
            <w:pPr>
              <w:pStyle w:val="ListParagraph"/>
              <w:ind w:left="36"/>
            </w:pPr>
          </w:p>
        </w:tc>
        <w:tc>
          <w:tcPr>
            <w:tcW w:w="3402" w:type="dxa"/>
          </w:tcPr>
          <w:p w14:paraId="7627F943" w14:textId="77777777" w:rsidR="002A206A" w:rsidRPr="0089741D" w:rsidRDefault="002A206A" w:rsidP="00433440">
            <w:pPr>
              <w:pStyle w:val="ListParagraph"/>
              <w:ind w:left="34"/>
            </w:pPr>
          </w:p>
        </w:tc>
      </w:tr>
      <w:tr w:rsidR="002A206A" w:rsidRPr="0089741D" w14:paraId="6D7741B6" w14:textId="77777777" w:rsidTr="00DB13FF">
        <w:trPr>
          <w:trHeight w:val="1040"/>
        </w:trPr>
        <w:tc>
          <w:tcPr>
            <w:tcW w:w="5382" w:type="dxa"/>
          </w:tcPr>
          <w:p w14:paraId="691D7851" w14:textId="77777777" w:rsidR="002A206A" w:rsidRPr="00A7656F" w:rsidRDefault="002A206A" w:rsidP="002A206A">
            <w:pPr>
              <w:pStyle w:val="ListParagraph"/>
              <w:numPr>
                <w:ilvl w:val="0"/>
                <w:numId w:val="17"/>
              </w:numPr>
              <w:jc w:val="left"/>
            </w:pPr>
            <w:r w:rsidRPr="0089741D">
              <w:t>Capability to provide inclusive and equitable services is regularly reviewed and addressed using guidance provided by organisations and resources that represent diverse communities and age groups.</w:t>
            </w:r>
          </w:p>
        </w:tc>
        <w:tc>
          <w:tcPr>
            <w:tcW w:w="1134" w:type="dxa"/>
          </w:tcPr>
          <w:p w14:paraId="2A9D9FC2" w14:textId="77777777" w:rsidR="002A206A" w:rsidRPr="0089741D" w:rsidRDefault="002A206A" w:rsidP="00433440">
            <w:pPr>
              <w:pStyle w:val="ListParagraph"/>
              <w:ind w:left="33"/>
            </w:pPr>
          </w:p>
        </w:tc>
        <w:tc>
          <w:tcPr>
            <w:tcW w:w="3118" w:type="dxa"/>
          </w:tcPr>
          <w:p w14:paraId="7C069144" w14:textId="77777777" w:rsidR="002A206A" w:rsidRPr="0089741D" w:rsidRDefault="002A206A" w:rsidP="00433440">
            <w:pPr>
              <w:pStyle w:val="ListParagraph"/>
              <w:ind w:left="0"/>
            </w:pPr>
          </w:p>
        </w:tc>
        <w:tc>
          <w:tcPr>
            <w:tcW w:w="3261" w:type="dxa"/>
          </w:tcPr>
          <w:p w14:paraId="22FFDBF6" w14:textId="77777777" w:rsidR="002A206A" w:rsidRPr="0089741D" w:rsidRDefault="002A206A" w:rsidP="00433440">
            <w:pPr>
              <w:pStyle w:val="ListParagraph"/>
              <w:ind w:left="0"/>
            </w:pPr>
          </w:p>
        </w:tc>
        <w:tc>
          <w:tcPr>
            <w:tcW w:w="2126" w:type="dxa"/>
          </w:tcPr>
          <w:p w14:paraId="4CA62264" w14:textId="77777777" w:rsidR="002A206A" w:rsidRPr="0089741D" w:rsidRDefault="002A206A" w:rsidP="00433440">
            <w:pPr>
              <w:pStyle w:val="ListParagraph"/>
              <w:ind w:left="0"/>
            </w:pPr>
          </w:p>
        </w:tc>
        <w:tc>
          <w:tcPr>
            <w:tcW w:w="3118" w:type="dxa"/>
          </w:tcPr>
          <w:p w14:paraId="1C822EBF" w14:textId="77777777" w:rsidR="002A206A" w:rsidRPr="0089741D" w:rsidRDefault="002A206A" w:rsidP="00433440">
            <w:pPr>
              <w:pStyle w:val="ListParagraph"/>
              <w:ind w:left="36"/>
            </w:pPr>
          </w:p>
        </w:tc>
        <w:tc>
          <w:tcPr>
            <w:tcW w:w="3402" w:type="dxa"/>
          </w:tcPr>
          <w:p w14:paraId="494815C0" w14:textId="77777777" w:rsidR="002A206A" w:rsidRPr="0089741D" w:rsidRDefault="002A206A" w:rsidP="00433440">
            <w:pPr>
              <w:pStyle w:val="ListParagraph"/>
              <w:ind w:left="34"/>
            </w:pPr>
          </w:p>
        </w:tc>
      </w:tr>
    </w:tbl>
    <w:p w14:paraId="0ADE9E1D" w14:textId="77777777" w:rsidR="002A206A" w:rsidRDefault="002A206A" w:rsidP="002A206A"/>
    <w:p w14:paraId="1D4C9B31" w14:textId="5A72A724" w:rsidR="002A206A" w:rsidRDefault="002A206A" w:rsidP="002A206A">
      <w:pPr>
        <w:pStyle w:val="Heading3"/>
      </w:pPr>
      <w:r>
        <w:t xml:space="preserve">Standard </w:t>
      </w:r>
      <w:r w:rsidRPr="0089741D">
        <w:t>8.3 The service implements strategies to enable inclusive and accessible communication.</w:t>
      </w:r>
    </w:p>
    <w:p w14:paraId="2D4066ED" w14:textId="77777777" w:rsidR="002A206A" w:rsidRPr="0089741D" w:rsidRDefault="002A206A" w:rsidP="002A206A">
      <w:r w:rsidRPr="0089741D">
        <w:t>HSS: (2) Access and engagement; (4) Participation</w:t>
      </w:r>
    </w:p>
    <w:p w14:paraId="7B82E8A4" w14:textId="35C93F9F" w:rsidR="002A206A" w:rsidRDefault="002A206A" w:rsidP="002A206A">
      <w:r w:rsidRPr="0089741D">
        <w:t>QGF</w:t>
      </w:r>
      <w:r>
        <w:t xml:space="preserve"> domains</w:t>
      </w:r>
      <w:r w:rsidRPr="0089741D">
        <w:t xml:space="preserve">: </w:t>
      </w:r>
      <w:r>
        <w:t>Client and family partnerships; Best practice; Risk management</w:t>
      </w:r>
    </w:p>
    <w:p w14:paraId="049A7FE5" w14:textId="36293275" w:rsidR="002A206A" w:rsidRDefault="002A206A" w:rsidP="002A206A"/>
    <w:tbl>
      <w:tblPr>
        <w:tblStyle w:val="TableGridLight"/>
        <w:tblW w:w="21541" w:type="dxa"/>
        <w:tblLook w:val="0020" w:firstRow="1" w:lastRow="0" w:firstColumn="0" w:lastColumn="0" w:noHBand="0" w:noVBand="0"/>
      </w:tblPr>
      <w:tblGrid>
        <w:gridCol w:w="5382"/>
        <w:gridCol w:w="1134"/>
        <w:gridCol w:w="3118"/>
        <w:gridCol w:w="3261"/>
        <w:gridCol w:w="2126"/>
        <w:gridCol w:w="3118"/>
        <w:gridCol w:w="3402"/>
      </w:tblGrid>
      <w:tr w:rsidR="002A206A" w:rsidRPr="0089741D" w14:paraId="4998EBA6" w14:textId="77777777" w:rsidTr="00DB13FF">
        <w:trPr>
          <w:trHeight w:val="70"/>
        </w:trPr>
        <w:tc>
          <w:tcPr>
            <w:tcW w:w="5382" w:type="dxa"/>
            <w:shd w:val="clear" w:color="auto" w:fill="F2F2F2" w:themeFill="background1" w:themeFillShade="F2"/>
          </w:tcPr>
          <w:p w14:paraId="359E8164" w14:textId="77777777" w:rsidR="002A206A" w:rsidRPr="0089741D" w:rsidRDefault="002A206A" w:rsidP="00DB13FF">
            <w:r w:rsidRPr="0089741D">
              <w:t>INDICATORS</w:t>
            </w:r>
          </w:p>
        </w:tc>
        <w:tc>
          <w:tcPr>
            <w:tcW w:w="1134" w:type="dxa"/>
            <w:shd w:val="clear" w:color="auto" w:fill="F2F2F2" w:themeFill="background1" w:themeFillShade="F2"/>
          </w:tcPr>
          <w:p w14:paraId="1CD6B724" w14:textId="77777777" w:rsidR="002A206A" w:rsidRPr="0089741D" w:rsidRDefault="002A206A" w:rsidP="00DB13FF">
            <w:r w:rsidRPr="0089741D">
              <w:t>RATING</w:t>
            </w:r>
          </w:p>
        </w:tc>
        <w:tc>
          <w:tcPr>
            <w:tcW w:w="3118" w:type="dxa"/>
            <w:shd w:val="clear" w:color="auto" w:fill="F2F2F2" w:themeFill="background1" w:themeFillShade="F2"/>
          </w:tcPr>
          <w:p w14:paraId="743CA370" w14:textId="77777777" w:rsidR="002A206A" w:rsidRPr="0089741D" w:rsidRDefault="002A206A" w:rsidP="00DB13FF">
            <w:r w:rsidRPr="0089741D">
              <w:t>EVIDENCE</w:t>
            </w:r>
          </w:p>
        </w:tc>
        <w:tc>
          <w:tcPr>
            <w:tcW w:w="3261" w:type="dxa"/>
            <w:shd w:val="clear" w:color="auto" w:fill="F2F2F2" w:themeFill="background1" w:themeFillShade="F2"/>
          </w:tcPr>
          <w:p w14:paraId="5556E4D7" w14:textId="77777777" w:rsidR="002A206A" w:rsidRPr="0089741D" w:rsidRDefault="002A206A" w:rsidP="00DB13FF">
            <w:r w:rsidRPr="0089741D">
              <w:t xml:space="preserve">IMPROVEMENT ACTIONS </w:t>
            </w:r>
          </w:p>
        </w:tc>
        <w:tc>
          <w:tcPr>
            <w:tcW w:w="2126" w:type="dxa"/>
            <w:shd w:val="clear" w:color="auto" w:fill="F2F2F2" w:themeFill="background1" w:themeFillShade="F2"/>
          </w:tcPr>
          <w:p w14:paraId="0195EE57" w14:textId="77777777" w:rsidR="002A206A" w:rsidRPr="0089741D" w:rsidRDefault="002A206A" w:rsidP="00DB13FF">
            <w:r w:rsidRPr="0089741D">
              <w:t>TIMEFRAME</w:t>
            </w:r>
          </w:p>
        </w:tc>
        <w:tc>
          <w:tcPr>
            <w:tcW w:w="3118" w:type="dxa"/>
            <w:shd w:val="clear" w:color="auto" w:fill="F2F2F2" w:themeFill="background1" w:themeFillShade="F2"/>
          </w:tcPr>
          <w:p w14:paraId="6FE53819" w14:textId="77777777" w:rsidR="002A206A" w:rsidRPr="0089741D" w:rsidRDefault="002A206A" w:rsidP="00DB13FF">
            <w:r w:rsidRPr="0089741D">
              <w:t>PERSON(S) RESPONSIBLE</w:t>
            </w:r>
          </w:p>
        </w:tc>
        <w:tc>
          <w:tcPr>
            <w:tcW w:w="3402" w:type="dxa"/>
            <w:shd w:val="clear" w:color="auto" w:fill="F2F2F2" w:themeFill="background1" w:themeFillShade="F2"/>
          </w:tcPr>
          <w:p w14:paraId="47A615A3" w14:textId="77777777" w:rsidR="002A206A" w:rsidRPr="0089741D" w:rsidRDefault="002A206A" w:rsidP="00DB13FF">
            <w:r w:rsidRPr="0089741D">
              <w:t>OUTCOME</w:t>
            </w:r>
          </w:p>
        </w:tc>
      </w:tr>
      <w:tr w:rsidR="002A206A" w:rsidRPr="0089741D" w14:paraId="2B499B87" w14:textId="77777777" w:rsidTr="00DB13FF">
        <w:trPr>
          <w:trHeight w:val="1395"/>
        </w:trPr>
        <w:tc>
          <w:tcPr>
            <w:tcW w:w="5382" w:type="dxa"/>
          </w:tcPr>
          <w:p w14:paraId="0A952C8E" w14:textId="77777777" w:rsidR="002A206A" w:rsidRPr="0089741D" w:rsidRDefault="002A206A" w:rsidP="002A206A">
            <w:pPr>
              <w:pStyle w:val="ListParagraph"/>
              <w:numPr>
                <w:ilvl w:val="0"/>
                <w:numId w:val="18"/>
              </w:numPr>
              <w:jc w:val="left"/>
            </w:pPr>
            <w:r w:rsidRPr="0089741D">
              <w:t>Flexible communication options (e.g. written, verbal, email, text, online chat) are provided in accordance with standards required to meet the needs of people with disability, non-English speakers, and people with literacy challenges.</w:t>
            </w:r>
          </w:p>
        </w:tc>
        <w:tc>
          <w:tcPr>
            <w:tcW w:w="1134" w:type="dxa"/>
          </w:tcPr>
          <w:p w14:paraId="17DAF09F" w14:textId="2C1BC374" w:rsidR="002A206A" w:rsidRPr="0089741D" w:rsidRDefault="002A206A" w:rsidP="00433440">
            <w:pPr>
              <w:pStyle w:val="ListParagraph"/>
              <w:ind w:left="33"/>
            </w:pPr>
          </w:p>
        </w:tc>
        <w:tc>
          <w:tcPr>
            <w:tcW w:w="3118" w:type="dxa"/>
          </w:tcPr>
          <w:p w14:paraId="454DBD9B" w14:textId="77777777" w:rsidR="002A206A" w:rsidRPr="0089741D" w:rsidRDefault="002A206A" w:rsidP="00433440">
            <w:pPr>
              <w:pStyle w:val="ListParagraph"/>
              <w:ind w:left="39"/>
            </w:pPr>
          </w:p>
        </w:tc>
        <w:tc>
          <w:tcPr>
            <w:tcW w:w="3261" w:type="dxa"/>
          </w:tcPr>
          <w:p w14:paraId="526FC5D7" w14:textId="77777777" w:rsidR="002A206A" w:rsidRPr="0089741D" w:rsidRDefault="002A206A" w:rsidP="00433440">
            <w:pPr>
              <w:pStyle w:val="ListParagraph"/>
              <w:ind w:left="0"/>
            </w:pPr>
          </w:p>
        </w:tc>
        <w:tc>
          <w:tcPr>
            <w:tcW w:w="2126" w:type="dxa"/>
          </w:tcPr>
          <w:p w14:paraId="25059D7A" w14:textId="77777777" w:rsidR="002A206A" w:rsidRPr="0089741D" w:rsidRDefault="002A206A" w:rsidP="00433440">
            <w:pPr>
              <w:pStyle w:val="ListParagraph"/>
              <w:ind w:left="33"/>
            </w:pPr>
          </w:p>
        </w:tc>
        <w:tc>
          <w:tcPr>
            <w:tcW w:w="3118" w:type="dxa"/>
          </w:tcPr>
          <w:p w14:paraId="63771906" w14:textId="77777777" w:rsidR="002A206A" w:rsidRPr="0089741D" w:rsidRDefault="002A206A" w:rsidP="00433440">
            <w:pPr>
              <w:pStyle w:val="ListParagraph"/>
              <w:ind w:left="0"/>
            </w:pPr>
          </w:p>
        </w:tc>
        <w:tc>
          <w:tcPr>
            <w:tcW w:w="3402" w:type="dxa"/>
          </w:tcPr>
          <w:p w14:paraId="6B07F4DC" w14:textId="77777777" w:rsidR="002A206A" w:rsidRPr="0089741D" w:rsidRDefault="002A206A" w:rsidP="00433440">
            <w:pPr>
              <w:pStyle w:val="ListParagraph"/>
              <w:ind w:left="0"/>
            </w:pPr>
          </w:p>
        </w:tc>
      </w:tr>
      <w:tr w:rsidR="002A206A" w:rsidRPr="0089741D" w14:paraId="609FEB5D" w14:textId="77777777" w:rsidTr="00DB13FF">
        <w:trPr>
          <w:trHeight w:val="720"/>
        </w:trPr>
        <w:tc>
          <w:tcPr>
            <w:tcW w:w="5382" w:type="dxa"/>
          </w:tcPr>
          <w:p w14:paraId="41E04A68" w14:textId="77777777" w:rsidR="002A206A" w:rsidRPr="0089741D" w:rsidRDefault="002A206A" w:rsidP="002A206A">
            <w:pPr>
              <w:pStyle w:val="ListParagraph"/>
              <w:numPr>
                <w:ilvl w:val="0"/>
                <w:numId w:val="18"/>
              </w:numPr>
              <w:jc w:val="left"/>
            </w:pPr>
            <w:r w:rsidRPr="004C66D8">
              <w:t>People from non-English speaking backgrounds are provided with accredited professional interpreters and offered options to engage interpreters over the phone or in person.</w:t>
            </w:r>
          </w:p>
        </w:tc>
        <w:tc>
          <w:tcPr>
            <w:tcW w:w="1134" w:type="dxa"/>
          </w:tcPr>
          <w:p w14:paraId="549352BE" w14:textId="77777777" w:rsidR="002A206A" w:rsidRPr="0089741D" w:rsidRDefault="002A206A" w:rsidP="00433440">
            <w:pPr>
              <w:pStyle w:val="ListParagraph"/>
              <w:ind w:left="33"/>
            </w:pPr>
          </w:p>
        </w:tc>
        <w:tc>
          <w:tcPr>
            <w:tcW w:w="3118" w:type="dxa"/>
          </w:tcPr>
          <w:p w14:paraId="32DA307F" w14:textId="77777777" w:rsidR="002A206A" w:rsidRPr="0089741D" w:rsidRDefault="002A206A" w:rsidP="00433440">
            <w:pPr>
              <w:pStyle w:val="ListParagraph"/>
              <w:ind w:left="39"/>
            </w:pPr>
          </w:p>
        </w:tc>
        <w:tc>
          <w:tcPr>
            <w:tcW w:w="3261" w:type="dxa"/>
          </w:tcPr>
          <w:p w14:paraId="77833A12" w14:textId="77777777" w:rsidR="002A206A" w:rsidRPr="0089741D" w:rsidRDefault="002A206A" w:rsidP="00433440">
            <w:pPr>
              <w:pStyle w:val="ListParagraph"/>
              <w:ind w:left="0"/>
            </w:pPr>
          </w:p>
        </w:tc>
        <w:tc>
          <w:tcPr>
            <w:tcW w:w="2126" w:type="dxa"/>
          </w:tcPr>
          <w:p w14:paraId="0057BEC0" w14:textId="77777777" w:rsidR="002A206A" w:rsidRPr="0089741D" w:rsidRDefault="002A206A" w:rsidP="00433440">
            <w:pPr>
              <w:pStyle w:val="ListParagraph"/>
              <w:ind w:left="33"/>
            </w:pPr>
          </w:p>
        </w:tc>
        <w:tc>
          <w:tcPr>
            <w:tcW w:w="3118" w:type="dxa"/>
          </w:tcPr>
          <w:p w14:paraId="413D891E" w14:textId="77777777" w:rsidR="002A206A" w:rsidRPr="0089741D" w:rsidRDefault="002A206A" w:rsidP="00433440">
            <w:pPr>
              <w:pStyle w:val="ListParagraph"/>
              <w:ind w:left="0"/>
            </w:pPr>
          </w:p>
        </w:tc>
        <w:tc>
          <w:tcPr>
            <w:tcW w:w="3402" w:type="dxa"/>
          </w:tcPr>
          <w:p w14:paraId="70C214AC" w14:textId="77777777" w:rsidR="002A206A" w:rsidRPr="0089741D" w:rsidRDefault="002A206A" w:rsidP="00433440">
            <w:pPr>
              <w:pStyle w:val="ListParagraph"/>
              <w:ind w:left="0"/>
            </w:pPr>
          </w:p>
        </w:tc>
      </w:tr>
      <w:tr w:rsidR="002A206A" w:rsidRPr="0089741D" w14:paraId="4646728B" w14:textId="77777777" w:rsidTr="00DB13FF">
        <w:trPr>
          <w:trHeight w:val="426"/>
        </w:trPr>
        <w:tc>
          <w:tcPr>
            <w:tcW w:w="5382" w:type="dxa"/>
          </w:tcPr>
          <w:p w14:paraId="721549BD" w14:textId="77777777" w:rsidR="002A206A" w:rsidRPr="0089741D" w:rsidRDefault="002A206A" w:rsidP="002A206A">
            <w:pPr>
              <w:pStyle w:val="ListParagraph"/>
              <w:numPr>
                <w:ilvl w:val="0"/>
                <w:numId w:val="18"/>
              </w:numPr>
              <w:jc w:val="left"/>
            </w:pPr>
            <w:r w:rsidRPr="0089741D">
              <w:t>People with disability are provided with accredited Auslan interpreters or access to communication support professionals to support informed decision-making and to communicate their needs.</w:t>
            </w:r>
          </w:p>
        </w:tc>
        <w:tc>
          <w:tcPr>
            <w:tcW w:w="1134" w:type="dxa"/>
          </w:tcPr>
          <w:p w14:paraId="35BADAA3" w14:textId="77777777" w:rsidR="002A206A" w:rsidRPr="0089741D" w:rsidRDefault="002A206A" w:rsidP="00433440">
            <w:pPr>
              <w:pStyle w:val="ListParagraph"/>
              <w:ind w:left="33"/>
            </w:pPr>
          </w:p>
        </w:tc>
        <w:tc>
          <w:tcPr>
            <w:tcW w:w="3118" w:type="dxa"/>
          </w:tcPr>
          <w:p w14:paraId="5C62662C" w14:textId="77777777" w:rsidR="002A206A" w:rsidRPr="0089741D" w:rsidRDefault="002A206A" w:rsidP="00433440">
            <w:pPr>
              <w:pStyle w:val="ListParagraph"/>
              <w:ind w:left="39"/>
            </w:pPr>
          </w:p>
        </w:tc>
        <w:tc>
          <w:tcPr>
            <w:tcW w:w="3261" w:type="dxa"/>
          </w:tcPr>
          <w:p w14:paraId="45F68059" w14:textId="77777777" w:rsidR="002A206A" w:rsidRPr="0089741D" w:rsidRDefault="002A206A" w:rsidP="00433440">
            <w:pPr>
              <w:pStyle w:val="ListParagraph"/>
              <w:ind w:left="0"/>
            </w:pPr>
          </w:p>
        </w:tc>
        <w:tc>
          <w:tcPr>
            <w:tcW w:w="2126" w:type="dxa"/>
          </w:tcPr>
          <w:p w14:paraId="1CA6B26C" w14:textId="77777777" w:rsidR="002A206A" w:rsidRPr="0089741D" w:rsidRDefault="002A206A" w:rsidP="00433440">
            <w:pPr>
              <w:pStyle w:val="ListParagraph"/>
              <w:ind w:left="33"/>
            </w:pPr>
          </w:p>
        </w:tc>
        <w:tc>
          <w:tcPr>
            <w:tcW w:w="3118" w:type="dxa"/>
          </w:tcPr>
          <w:p w14:paraId="421795C7" w14:textId="77777777" w:rsidR="002A206A" w:rsidRPr="0089741D" w:rsidRDefault="002A206A" w:rsidP="00433440">
            <w:pPr>
              <w:pStyle w:val="ListParagraph"/>
              <w:ind w:left="0"/>
            </w:pPr>
          </w:p>
        </w:tc>
        <w:tc>
          <w:tcPr>
            <w:tcW w:w="3402" w:type="dxa"/>
          </w:tcPr>
          <w:p w14:paraId="1DD9C425" w14:textId="77777777" w:rsidR="002A206A" w:rsidRPr="0089741D" w:rsidRDefault="002A206A" w:rsidP="00433440">
            <w:pPr>
              <w:pStyle w:val="ListParagraph"/>
              <w:ind w:left="0"/>
            </w:pPr>
          </w:p>
        </w:tc>
      </w:tr>
      <w:tr w:rsidR="002A206A" w:rsidRPr="0089741D" w14:paraId="0031D53B" w14:textId="77777777" w:rsidTr="00DB13FF">
        <w:trPr>
          <w:trHeight w:val="1410"/>
        </w:trPr>
        <w:tc>
          <w:tcPr>
            <w:tcW w:w="5382" w:type="dxa"/>
          </w:tcPr>
          <w:p w14:paraId="17A513B1" w14:textId="77777777" w:rsidR="002A206A" w:rsidRPr="0089741D" w:rsidRDefault="002A206A" w:rsidP="002A206A">
            <w:pPr>
              <w:pStyle w:val="ListParagraph"/>
              <w:numPr>
                <w:ilvl w:val="0"/>
                <w:numId w:val="18"/>
              </w:numPr>
              <w:jc w:val="left"/>
            </w:pPr>
            <w:r w:rsidRPr="0089741D">
              <w:t>Concerns about breaches of confidentiality and misconduct by interpreters and communication support professionals are documented and reported to the organisation providing the service and/or the appropriate oversight authority.</w:t>
            </w:r>
          </w:p>
        </w:tc>
        <w:tc>
          <w:tcPr>
            <w:tcW w:w="1134" w:type="dxa"/>
          </w:tcPr>
          <w:p w14:paraId="32F134EF" w14:textId="77777777" w:rsidR="002A206A" w:rsidRPr="0089741D" w:rsidRDefault="002A206A" w:rsidP="00433440">
            <w:pPr>
              <w:pStyle w:val="ListParagraph"/>
              <w:ind w:left="33"/>
            </w:pPr>
          </w:p>
        </w:tc>
        <w:tc>
          <w:tcPr>
            <w:tcW w:w="3118" w:type="dxa"/>
          </w:tcPr>
          <w:p w14:paraId="6A88812D" w14:textId="77777777" w:rsidR="002A206A" w:rsidRPr="0089741D" w:rsidRDefault="002A206A" w:rsidP="00433440">
            <w:pPr>
              <w:pStyle w:val="ListParagraph"/>
              <w:ind w:left="39"/>
            </w:pPr>
          </w:p>
        </w:tc>
        <w:tc>
          <w:tcPr>
            <w:tcW w:w="3261" w:type="dxa"/>
          </w:tcPr>
          <w:p w14:paraId="11D078B6" w14:textId="77777777" w:rsidR="002A206A" w:rsidRPr="0089741D" w:rsidRDefault="002A206A" w:rsidP="00433440">
            <w:pPr>
              <w:pStyle w:val="ListParagraph"/>
              <w:ind w:left="0"/>
            </w:pPr>
          </w:p>
        </w:tc>
        <w:tc>
          <w:tcPr>
            <w:tcW w:w="2126" w:type="dxa"/>
          </w:tcPr>
          <w:p w14:paraId="05B39E09" w14:textId="77777777" w:rsidR="002A206A" w:rsidRPr="0089741D" w:rsidRDefault="002A206A" w:rsidP="00433440">
            <w:pPr>
              <w:pStyle w:val="ListParagraph"/>
              <w:ind w:left="33"/>
            </w:pPr>
          </w:p>
        </w:tc>
        <w:tc>
          <w:tcPr>
            <w:tcW w:w="3118" w:type="dxa"/>
          </w:tcPr>
          <w:p w14:paraId="56C2706C" w14:textId="77777777" w:rsidR="002A206A" w:rsidRPr="0089741D" w:rsidRDefault="002A206A" w:rsidP="00433440">
            <w:pPr>
              <w:pStyle w:val="ListParagraph"/>
              <w:ind w:left="0"/>
            </w:pPr>
          </w:p>
        </w:tc>
        <w:tc>
          <w:tcPr>
            <w:tcW w:w="3402" w:type="dxa"/>
          </w:tcPr>
          <w:p w14:paraId="7C5FBF10" w14:textId="77777777" w:rsidR="002A206A" w:rsidRPr="0089741D" w:rsidRDefault="002A206A" w:rsidP="00433440">
            <w:pPr>
              <w:pStyle w:val="ListParagraph"/>
              <w:ind w:left="0"/>
            </w:pPr>
          </w:p>
        </w:tc>
      </w:tr>
    </w:tbl>
    <w:p w14:paraId="65818A2B" w14:textId="3A729007" w:rsidR="002A206A" w:rsidRDefault="002A206A" w:rsidP="002A206A"/>
    <w:p w14:paraId="580C3A5A" w14:textId="6827786B" w:rsidR="00012D70" w:rsidRDefault="00012D70" w:rsidP="002A206A"/>
    <w:p w14:paraId="4D438606" w14:textId="32797643" w:rsidR="00012D70" w:rsidRDefault="00012D70" w:rsidP="002A206A"/>
    <w:p w14:paraId="78BAB942" w14:textId="2E621FC6" w:rsidR="00012D70" w:rsidRDefault="00012D70" w:rsidP="002A206A"/>
    <w:p w14:paraId="0569C015" w14:textId="44FA8E3D" w:rsidR="00012D70" w:rsidRDefault="00012D70" w:rsidP="002A206A"/>
    <w:p w14:paraId="5B2FA53B" w14:textId="4DE2B7ED" w:rsidR="00012D70" w:rsidRDefault="00012D70" w:rsidP="002A206A"/>
    <w:p w14:paraId="0DB6E3BB" w14:textId="3C4B2E3D" w:rsidR="00012D70" w:rsidRDefault="00012D70" w:rsidP="002A206A"/>
    <w:p w14:paraId="5CF8157C" w14:textId="77777777" w:rsidR="00012D70" w:rsidRDefault="00012D70" w:rsidP="00012D70">
      <w:pPr>
        <w:pStyle w:val="Heading2"/>
      </w:pPr>
      <w:r w:rsidRPr="0089741D">
        <w:lastRenderedPageBreak/>
        <w:t>Principle 9: Capable and Sustainable Workforce</w:t>
      </w:r>
    </w:p>
    <w:p w14:paraId="2B39A192" w14:textId="4CA4407A" w:rsidR="00012D70" w:rsidRDefault="00012D70" w:rsidP="00012D70">
      <w:pPr>
        <w:pStyle w:val="Heading3"/>
      </w:pPr>
      <w:r>
        <w:t xml:space="preserve">Standard </w:t>
      </w:r>
      <w:r w:rsidRPr="0089741D">
        <w:t>9.1 The service is committed to developing the professional capabilities of the specialist family violence workforce.</w:t>
      </w:r>
    </w:p>
    <w:p w14:paraId="53D67F69" w14:textId="77777777" w:rsidR="00012D70" w:rsidRPr="0089741D" w:rsidRDefault="00012D70" w:rsidP="00012D70">
      <w:r w:rsidRPr="0089741D">
        <w:t xml:space="preserve">HSS: (5) Governance and management </w:t>
      </w:r>
    </w:p>
    <w:p w14:paraId="5A38E5D8" w14:textId="70033236" w:rsidR="00012D70" w:rsidRDefault="00012D70" w:rsidP="00012D70">
      <w:r w:rsidRPr="0089741D">
        <w:t>QGF</w:t>
      </w:r>
      <w:r>
        <w:t xml:space="preserve"> domains</w:t>
      </w:r>
      <w:r w:rsidRPr="0089741D">
        <w:t xml:space="preserve">: </w:t>
      </w:r>
      <w:r>
        <w:t>Workforce; Leadership and culture</w:t>
      </w:r>
    </w:p>
    <w:p w14:paraId="45AA275F" w14:textId="2BB534C4" w:rsidR="00012D70" w:rsidRDefault="00012D70" w:rsidP="00012D70"/>
    <w:tbl>
      <w:tblPr>
        <w:tblStyle w:val="TableGridLight"/>
        <w:tblW w:w="21541" w:type="dxa"/>
        <w:tblLook w:val="0020" w:firstRow="1" w:lastRow="0" w:firstColumn="0" w:lastColumn="0" w:noHBand="0" w:noVBand="0"/>
      </w:tblPr>
      <w:tblGrid>
        <w:gridCol w:w="5382"/>
        <w:gridCol w:w="1134"/>
        <w:gridCol w:w="3118"/>
        <w:gridCol w:w="3261"/>
        <w:gridCol w:w="2126"/>
        <w:gridCol w:w="3118"/>
        <w:gridCol w:w="3402"/>
      </w:tblGrid>
      <w:tr w:rsidR="00012D70" w:rsidRPr="0089741D" w14:paraId="788C7DC0" w14:textId="77777777" w:rsidTr="00DB13FF">
        <w:trPr>
          <w:trHeight w:val="70"/>
        </w:trPr>
        <w:tc>
          <w:tcPr>
            <w:tcW w:w="5382" w:type="dxa"/>
            <w:shd w:val="clear" w:color="auto" w:fill="F2F2F2" w:themeFill="background1" w:themeFillShade="F2"/>
          </w:tcPr>
          <w:p w14:paraId="1E54D0E9" w14:textId="77777777" w:rsidR="00012D70" w:rsidRPr="0089741D" w:rsidRDefault="00012D70" w:rsidP="00DB13FF">
            <w:r w:rsidRPr="0089741D">
              <w:t>INDICATORS</w:t>
            </w:r>
          </w:p>
        </w:tc>
        <w:tc>
          <w:tcPr>
            <w:tcW w:w="1134" w:type="dxa"/>
            <w:shd w:val="clear" w:color="auto" w:fill="F2F2F2" w:themeFill="background1" w:themeFillShade="F2"/>
          </w:tcPr>
          <w:p w14:paraId="36DF304B" w14:textId="77777777" w:rsidR="00012D70" w:rsidRPr="0089741D" w:rsidRDefault="00012D70" w:rsidP="00DB13FF">
            <w:r w:rsidRPr="0089741D">
              <w:t>RATING</w:t>
            </w:r>
          </w:p>
        </w:tc>
        <w:tc>
          <w:tcPr>
            <w:tcW w:w="3118" w:type="dxa"/>
            <w:shd w:val="clear" w:color="auto" w:fill="F2F2F2" w:themeFill="background1" w:themeFillShade="F2"/>
          </w:tcPr>
          <w:p w14:paraId="2B4C892F" w14:textId="77777777" w:rsidR="00012D70" w:rsidRPr="0089741D" w:rsidRDefault="00012D70" w:rsidP="00DB13FF">
            <w:r w:rsidRPr="0089741D">
              <w:t>EVIDENCE</w:t>
            </w:r>
          </w:p>
        </w:tc>
        <w:tc>
          <w:tcPr>
            <w:tcW w:w="3261" w:type="dxa"/>
            <w:shd w:val="clear" w:color="auto" w:fill="F2F2F2" w:themeFill="background1" w:themeFillShade="F2"/>
          </w:tcPr>
          <w:p w14:paraId="3237A50B" w14:textId="77777777" w:rsidR="00012D70" w:rsidRPr="0089741D" w:rsidRDefault="00012D70" w:rsidP="00DB13FF">
            <w:r w:rsidRPr="0089741D">
              <w:t xml:space="preserve">IMPROVEMENT ACTIONS </w:t>
            </w:r>
          </w:p>
        </w:tc>
        <w:tc>
          <w:tcPr>
            <w:tcW w:w="2126" w:type="dxa"/>
            <w:shd w:val="clear" w:color="auto" w:fill="F2F2F2" w:themeFill="background1" w:themeFillShade="F2"/>
          </w:tcPr>
          <w:p w14:paraId="1BC37017" w14:textId="77777777" w:rsidR="00012D70" w:rsidRPr="0089741D" w:rsidRDefault="00012D70" w:rsidP="00DB13FF">
            <w:r w:rsidRPr="0089741D">
              <w:t>TIMEFRAME</w:t>
            </w:r>
          </w:p>
        </w:tc>
        <w:tc>
          <w:tcPr>
            <w:tcW w:w="3118" w:type="dxa"/>
            <w:shd w:val="clear" w:color="auto" w:fill="F2F2F2" w:themeFill="background1" w:themeFillShade="F2"/>
          </w:tcPr>
          <w:p w14:paraId="33AFD4B5" w14:textId="77777777" w:rsidR="00012D70" w:rsidRPr="0089741D" w:rsidRDefault="00012D70" w:rsidP="00DB13FF">
            <w:r w:rsidRPr="0089741D">
              <w:t>PERSON(S) RESPONSIBLE</w:t>
            </w:r>
          </w:p>
        </w:tc>
        <w:tc>
          <w:tcPr>
            <w:tcW w:w="3402" w:type="dxa"/>
            <w:shd w:val="clear" w:color="auto" w:fill="F2F2F2" w:themeFill="background1" w:themeFillShade="F2"/>
          </w:tcPr>
          <w:p w14:paraId="7B7FFFFD" w14:textId="77777777" w:rsidR="00012D70" w:rsidRPr="0089741D" w:rsidRDefault="00012D70" w:rsidP="00DB13FF">
            <w:r w:rsidRPr="0089741D">
              <w:t>OUTCOME</w:t>
            </w:r>
          </w:p>
        </w:tc>
      </w:tr>
      <w:tr w:rsidR="00012D70" w:rsidRPr="0089741D" w14:paraId="7665111B" w14:textId="77777777" w:rsidTr="00DB13FF">
        <w:trPr>
          <w:trHeight w:val="848"/>
        </w:trPr>
        <w:tc>
          <w:tcPr>
            <w:tcW w:w="5382" w:type="dxa"/>
          </w:tcPr>
          <w:p w14:paraId="40C11DDE" w14:textId="77777777" w:rsidR="00012D70" w:rsidRPr="0089741D" w:rsidRDefault="00012D70" w:rsidP="00012D70">
            <w:pPr>
              <w:pStyle w:val="ListParagraph"/>
              <w:numPr>
                <w:ilvl w:val="0"/>
                <w:numId w:val="19"/>
              </w:numPr>
              <w:jc w:val="left"/>
            </w:pPr>
            <w:r w:rsidRPr="0089741D">
              <w:t xml:space="preserve">The </w:t>
            </w:r>
            <w:r w:rsidRPr="0089741D">
              <w:rPr>
                <w:i/>
                <w:iCs/>
              </w:rPr>
              <w:t xml:space="preserve">Code of Practice </w:t>
            </w:r>
            <w:r w:rsidRPr="0089741D">
              <w:t>is used to guide the induction and professional development of executives, managers, staff and board members.</w:t>
            </w:r>
          </w:p>
        </w:tc>
        <w:tc>
          <w:tcPr>
            <w:tcW w:w="1134" w:type="dxa"/>
          </w:tcPr>
          <w:p w14:paraId="4BA3B5E0" w14:textId="77777777" w:rsidR="00012D70" w:rsidRPr="0089741D" w:rsidRDefault="00012D70" w:rsidP="00433440">
            <w:pPr>
              <w:pStyle w:val="ListParagraph"/>
              <w:ind w:left="33"/>
            </w:pPr>
          </w:p>
        </w:tc>
        <w:tc>
          <w:tcPr>
            <w:tcW w:w="3118" w:type="dxa"/>
          </w:tcPr>
          <w:p w14:paraId="62851F40" w14:textId="77777777" w:rsidR="00012D70" w:rsidRPr="0089741D" w:rsidRDefault="00012D70" w:rsidP="00433440">
            <w:pPr>
              <w:pStyle w:val="ListParagraph"/>
              <w:ind w:left="0"/>
            </w:pPr>
          </w:p>
        </w:tc>
        <w:tc>
          <w:tcPr>
            <w:tcW w:w="3261" w:type="dxa"/>
          </w:tcPr>
          <w:p w14:paraId="280CC207" w14:textId="77777777" w:rsidR="00012D70" w:rsidRPr="0089741D" w:rsidRDefault="00012D70" w:rsidP="00433440">
            <w:pPr>
              <w:pStyle w:val="ListParagraph"/>
              <w:ind w:left="0"/>
            </w:pPr>
          </w:p>
        </w:tc>
        <w:tc>
          <w:tcPr>
            <w:tcW w:w="2126" w:type="dxa"/>
          </w:tcPr>
          <w:p w14:paraId="0C7C4FFA" w14:textId="77777777" w:rsidR="00012D70" w:rsidRPr="0089741D" w:rsidRDefault="00012D70" w:rsidP="00433440">
            <w:pPr>
              <w:pStyle w:val="ListParagraph"/>
              <w:ind w:left="33"/>
            </w:pPr>
          </w:p>
        </w:tc>
        <w:tc>
          <w:tcPr>
            <w:tcW w:w="3118" w:type="dxa"/>
          </w:tcPr>
          <w:p w14:paraId="1814DD99" w14:textId="77777777" w:rsidR="00012D70" w:rsidRPr="0089741D" w:rsidRDefault="00012D70" w:rsidP="00433440">
            <w:pPr>
              <w:pStyle w:val="ListParagraph"/>
              <w:ind w:left="36"/>
            </w:pPr>
          </w:p>
        </w:tc>
        <w:tc>
          <w:tcPr>
            <w:tcW w:w="3402" w:type="dxa"/>
          </w:tcPr>
          <w:p w14:paraId="7385FDC3" w14:textId="77777777" w:rsidR="00012D70" w:rsidRPr="0089741D" w:rsidRDefault="00012D70" w:rsidP="00433440">
            <w:pPr>
              <w:pStyle w:val="ListParagraph"/>
              <w:ind w:left="34"/>
            </w:pPr>
          </w:p>
        </w:tc>
      </w:tr>
      <w:tr w:rsidR="00012D70" w:rsidRPr="0089741D" w14:paraId="2753041D" w14:textId="77777777" w:rsidTr="00DB13FF">
        <w:trPr>
          <w:trHeight w:val="848"/>
        </w:trPr>
        <w:tc>
          <w:tcPr>
            <w:tcW w:w="5382" w:type="dxa"/>
          </w:tcPr>
          <w:p w14:paraId="1E4E2EF9" w14:textId="77777777" w:rsidR="00012D70" w:rsidRPr="0089741D" w:rsidRDefault="00012D70" w:rsidP="00012D70">
            <w:pPr>
              <w:pStyle w:val="ListParagraph"/>
              <w:numPr>
                <w:ilvl w:val="0"/>
                <w:numId w:val="19"/>
              </w:numPr>
              <w:jc w:val="left"/>
            </w:pPr>
            <w:r w:rsidRPr="0089741D">
              <w:t xml:space="preserve">The </w:t>
            </w:r>
            <w:r w:rsidRPr="0089741D">
              <w:rPr>
                <w:i/>
                <w:iCs/>
              </w:rPr>
              <w:t>Responding to Family Violence Capability Framework</w:t>
            </w:r>
            <w:r w:rsidRPr="0089741D">
              <w:t xml:space="preserve"> is used to create clearly defined and consistent position descriptions and develop career pathways and professional development strategies.</w:t>
            </w:r>
          </w:p>
        </w:tc>
        <w:tc>
          <w:tcPr>
            <w:tcW w:w="1134" w:type="dxa"/>
          </w:tcPr>
          <w:p w14:paraId="386CCB2B" w14:textId="77777777" w:rsidR="00012D70" w:rsidRPr="0089741D" w:rsidRDefault="00012D70" w:rsidP="00433440">
            <w:pPr>
              <w:pStyle w:val="ListParagraph"/>
              <w:ind w:left="33"/>
            </w:pPr>
          </w:p>
        </w:tc>
        <w:tc>
          <w:tcPr>
            <w:tcW w:w="3118" w:type="dxa"/>
          </w:tcPr>
          <w:p w14:paraId="40BAF9C0" w14:textId="77777777" w:rsidR="00012D70" w:rsidRPr="0089741D" w:rsidRDefault="00012D70" w:rsidP="00433440">
            <w:pPr>
              <w:pStyle w:val="ListParagraph"/>
              <w:ind w:left="0"/>
            </w:pPr>
          </w:p>
        </w:tc>
        <w:tc>
          <w:tcPr>
            <w:tcW w:w="3261" w:type="dxa"/>
          </w:tcPr>
          <w:p w14:paraId="600C1F61" w14:textId="77777777" w:rsidR="00012D70" w:rsidRPr="0089741D" w:rsidRDefault="00012D70" w:rsidP="00433440">
            <w:pPr>
              <w:pStyle w:val="ListParagraph"/>
              <w:ind w:left="0"/>
            </w:pPr>
          </w:p>
        </w:tc>
        <w:tc>
          <w:tcPr>
            <w:tcW w:w="2126" w:type="dxa"/>
          </w:tcPr>
          <w:p w14:paraId="4C1CA3E7" w14:textId="77777777" w:rsidR="00012D70" w:rsidRPr="0089741D" w:rsidRDefault="00012D70" w:rsidP="00433440">
            <w:pPr>
              <w:pStyle w:val="ListParagraph"/>
              <w:ind w:left="33"/>
            </w:pPr>
          </w:p>
        </w:tc>
        <w:tc>
          <w:tcPr>
            <w:tcW w:w="3118" w:type="dxa"/>
          </w:tcPr>
          <w:p w14:paraId="01C8C2B1" w14:textId="77777777" w:rsidR="00012D70" w:rsidRPr="0089741D" w:rsidRDefault="00012D70" w:rsidP="00433440">
            <w:pPr>
              <w:pStyle w:val="ListParagraph"/>
              <w:ind w:left="36"/>
            </w:pPr>
          </w:p>
        </w:tc>
        <w:tc>
          <w:tcPr>
            <w:tcW w:w="3402" w:type="dxa"/>
          </w:tcPr>
          <w:p w14:paraId="0DE1B7C0" w14:textId="77777777" w:rsidR="00012D70" w:rsidRPr="0089741D" w:rsidRDefault="00012D70" w:rsidP="00433440">
            <w:pPr>
              <w:pStyle w:val="ListParagraph"/>
              <w:ind w:left="34"/>
            </w:pPr>
          </w:p>
        </w:tc>
      </w:tr>
      <w:tr w:rsidR="00012D70" w:rsidRPr="0089741D" w14:paraId="462BF96F" w14:textId="77777777" w:rsidTr="00DB13FF">
        <w:trPr>
          <w:trHeight w:val="848"/>
        </w:trPr>
        <w:tc>
          <w:tcPr>
            <w:tcW w:w="5382" w:type="dxa"/>
          </w:tcPr>
          <w:p w14:paraId="36D1A254" w14:textId="77777777" w:rsidR="00012D70" w:rsidRPr="0089741D" w:rsidRDefault="00012D70" w:rsidP="00012D70">
            <w:pPr>
              <w:pStyle w:val="ListParagraph"/>
              <w:numPr>
                <w:ilvl w:val="0"/>
                <w:numId w:val="19"/>
              </w:numPr>
              <w:jc w:val="left"/>
            </w:pPr>
            <w:r w:rsidRPr="0089741D">
              <w:t xml:space="preserve">The </w:t>
            </w:r>
            <w:r w:rsidRPr="0089741D">
              <w:rPr>
                <w:i/>
                <w:iCs/>
              </w:rPr>
              <w:t>Responding to Family Violence Capability Framework</w:t>
            </w:r>
            <w:r w:rsidRPr="0089741D">
              <w:t xml:space="preserve"> is used to assess whether practitioners have the requisite Tier 1 knowledge and skills prior to working directly with victim-survivors.</w:t>
            </w:r>
          </w:p>
        </w:tc>
        <w:tc>
          <w:tcPr>
            <w:tcW w:w="1134" w:type="dxa"/>
          </w:tcPr>
          <w:p w14:paraId="234D4988" w14:textId="77777777" w:rsidR="00012D70" w:rsidRPr="0089741D" w:rsidRDefault="00012D70" w:rsidP="00433440">
            <w:pPr>
              <w:pStyle w:val="ListParagraph"/>
              <w:ind w:left="33"/>
            </w:pPr>
          </w:p>
        </w:tc>
        <w:tc>
          <w:tcPr>
            <w:tcW w:w="3118" w:type="dxa"/>
          </w:tcPr>
          <w:p w14:paraId="670AB827" w14:textId="77777777" w:rsidR="00012D70" w:rsidRPr="0089741D" w:rsidRDefault="00012D70" w:rsidP="00433440">
            <w:pPr>
              <w:pStyle w:val="ListParagraph"/>
              <w:ind w:left="0"/>
            </w:pPr>
          </w:p>
        </w:tc>
        <w:tc>
          <w:tcPr>
            <w:tcW w:w="3261" w:type="dxa"/>
          </w:tcPr>
          <w:p w14:paraId="21479087" w14:textId="77777777" w:rsidR="00012D70" w:rsidRPr="0089741D" w:rsidRDefault="00012D70" w:rsidP="00433440">
            <w:pPr>
              <w:pStyle w:val="ListParagraph"/>
              <w:ind w:left="0"/>
            </w:pPr>
          </w:p>
        </w:tc>
        <w:tc>
          <w:tcPr>
            <w:tcW w:w="2126" w:type="dxa"/>
          </w:tcPr>
          <w:p w14:paraId="51805525" w14:textId="77777777" w:rsidR="00012D70" w:rsidRPr="0089741D" w:rsidRDefault="00012D70" w:rsidP="00433440">
            <w:pPr>
              <w:pStyle w:val="ListParagraph"/>
              <w:ind w:left="33"/>
            </w:pPr>
          </w:p>
        </w:tc>
        <w:tc>
          <w:tcPr>
            <w:tcW w:w="3118" w:type="dxa"/>
          </w:tcPr>
          <w:p w14:paraId="434F5EEF" w14:textId="77777777" w:rsidR="00012D70" w:rsidRPr="0089741D" w:rsidRDefault="00012D70" w:rsidP="00433440">
            <w:pPr>
              <w:pStyle w:val="ListParagraph"/>
              <w:ind w:left="36"/>
            </w:pPr>
          </w:p>
        </w:tc>
        <w:tc>
          <w:tcPr>
            <w:tcW w:w="3402" w:type="dxa"/>
          </w:tcPr>
          <w:p w14:paraId="56F9BF47" w14:textId="77777777" w:rsidR="00012D70" w:rsidRPr="0089741D" w:rsidRDefault="00012D70" w:rsidP="00433440">
            <w:pPr>
              <w:pStyle w:val="ListParagraph"/>
              <w:ind w:left="34"/>
            </w:pPr>
          </w:p>
        </w:tc>
      </w:tr>
      <w:tr w:rsidR="00012D70" w:rsidRPr="0089741D" w14:paraId="52393989" w14:textId="77777777" w:rsidTr="00DB13FF">
        <w:trPr>
          <w:trHeight w:val="848"/>
        </w:trPr>
        <w:tc>
          <w:tcPr>
            <w:tcW w:w="5382" w:type="dxa"/>
          </w:tcPr>
          <w:p w14:paraId="200CEDB8" w14:textId="77777777" w:rsidR="00012D70" w:rsidRPr="0089741D" w:rsidRDefault="00012D70" w:rsidP="00012D70">
            <w:pPr>
              <w:pStyle w:val="ListParagraph"/>
              <w:numPr>
                <w:ilvl w:val="0"/>
                <w:numId w:val="19"/>
              </w:numPr>
              <w:jc w:val="left"/>
            </w:pPr>
            <w:r w:rsidRPr="0089741D">
              <w:t>Regular and equitable supervision is provided for all practitioners by appropriately qualified senior staff to monitor progress and outcomes of case work, review risk assessments and risk management plans, and undertake reflective practice.</w:t>
            </w:r>
          </w:p>
        </w:tc>
        <w:tc>
          <w:tcPr>
            <w:tcW w:w="1134" w:type="dxa"/>
          </w:tcPr>
          <w:p w14:paraId="2B086FE1" w14:textId="77777777" w:rsidR="00012D70" w:rsidRPr="0089741D" w:rsidRDefault="00012D70" w:rsidP="00433440">
            <w:pPr>
              <w:pStyle w:val="ListParagraph"/>
              <w:ind w:left="33"/>
            </w:pPr>
          </w:p>
        </w:tc>
        <w:tc>
          <w:tcPr>
            <w:tcW w:w="3118" w:type="dxa"/>
          </w:tcPr>
          <w:p w14:paraId="7DB8E1E0" w14:textId="77777777" w:rsidR="00012D70" w:rsidRPr="0089741D" w:rsidRDefault="00012D70" w:rsidP="00433440">
            <w:pPr>
              <w:pStyle w:val="ListParagraph"/>
              <w:ind w:left="0"/>
            </w:pPr>
          </w:p>
        </w:tc>
        <w:tc>
          <w:tcPr>
            <w:tcW w:w="3261" w:type="dxa"/>
          </w:tcPr>
          <w:p w14:paraId="38BE5818" w14:textId="77777777" w:rsidR="00012D70" w:rsidRPr="0089741D" w:rsidRDefault="00012D70" w:rsidP="00433440">
            <w:pPr>
              <w:pStyle w:val="ListParagraph"/>
              <w:ind w:left="0"/>
            </w:pPr>
          </w:p>
        </w:tc>
        <w:tc>
          <w:tcPr>
            <w:tcW w:w="2126" w:type="dxa"/>
          </w:tcPr>
          <w:p w14:paraId="79466529" w14:textId="77777777" w:rsidR="00012D70" w:rsidRPr="0089741D" w:rsidRDefault="00012D70" w:rsidP="00433440">
            <w:pPr>
              <w:pStyle w:val="ListParagraph"/>
              <w:ind w:left="33"/>
            </w:pPr>
          </w:p>
        </w:tc>
        <w:tc>
          <w:tcPr>
            <w:tcW w:w="3118" w:type="dxa"/>
          </w:tcPr>
          <w:p w14:paraId="1CA3CAEF" w14:textId="77777777" w:rsidR="00012D70" w:rsidRPr="0089741D" w:rsidRDefault="00012D70" w:rsidP="00433440">
            <w:pPr>
              <w:pStyle w:val="ListParagraph"/>
              <w:ind w:left="36"/>
            </w:pPr>
          </w:p>
        </w:tc>
        <w:tc>
          <w:tcPr>
            <w:tcW w:w="3402" w:type="dxa"/>
          </w:tcPr>
          <w:p w14:paraId="52AD022C" w14:textId="77777777" w:rsidR="00012D70" w:rsidRPr="0089741D" w:rsidRDefault="00012D70" w:rsidP="00433440">
            <w:pPr>
              <w:pStyle w:val="ListParagraph"/>
              <w:ind w:left="34"/>
            </w:pPr>
          </w:p>
        </w:tc>
      </w:tr>
      <w:tr w:rsidR="00012D70" w:rsidRPr="0089741D" w14:paraId="1B554189" w14:textId="77777777" w:rsidTr="00DB13FF">
        <w:trPr>
          <w:trHeight w:val="900"/>
        </w:trPr>
        <w:tc>
          <w:tcPr>
            <w:tcW w:w="5382" w:type="dxa"/>
          </w:tcPr>
          <w:p w14:paraId="786117A8" w14:textId="77777777" w:rsidR="00012D70" w:rsidRPr="0089741D" w:rsidRDefault="00012D70" w:rsidP="00012D70">
            <w:pPr>
              <w:pStyle w:val="ListParagraph"/>
              <w:numPr>
                <w:ilvl w:val="0"/>
                <w:numId w:val="19"/>
              </w:numPr>
              <w:jc w:val="left"/>
            </w:pPr>
            <w:r w:rsidRPr="0089741D">
              <w:t>Regular group reflection is provided for all practitioners by appropriately qualified professionals to collectively evaluate and strengthen specialist family violence praxis.</w:t>
            </w:r>
          </w:p>
        </w:tc>
        <w:tc>
          <w:tcPr>
            <w:tcW w:w="1134" w:type="dxa"/>
          </w:tcPr>
          <w:p w14:paraId="3FD56E89" w14:textId="77777777" w:rsidR="00012D70" w:rsidRPr="0089741D" w:rsidRDefault="00012D70" w:rsidP="00433440">
            <w:pPr>
              <w:pStyle w:val="ListParagraph"/>
              <w:ind w:left="33"/>
            </w:pPr>
          </w:p>
        </w:tc>
        <w:tc>
          <w:tcPr>
            <w:tcW w:w="3118" w:type="dxa"/>
          </w:tcPr>
          <w:p w14:paraId="79FE43D3" w14:textId="77777777" w:rsidR="00012D70" w:rsidRPr="0089741D" w:rsidRDefault="00012D70" w:rsidP="00433440">
            <w:pPr>
              <w:pStyle w:val="ListParagraph"/>
              <w:ind w:left="0"/>
            </w:pPr>
          </w:p>
        </w:tc>
        <w:tc>
          <w:tcPr>
            <w:tcW w:w="3261" w:type="dxa"/>
          </w:tcPr>
          <w:p w14:paraId="2A7CEF7D" w14:textId="77777777" w:rsidR="00012D70" w:rsidRPr="0089741D" w:rsidRDefault="00012D70" w:rsidP="00433440">
            <w:pPr>
              <w:pStyle w:val="ListParagraph"/>
              <w:ind w:left="0"/>
            </w:pPr>
          </w:p>
        </w:tc>
        <w:tc>
          <w:tcPr>
            <w:tcW w:w="2126" w:type="dxa"/>
          </w:tcPr>
          <w:p w14:paraId="15FC4F60" w14:textId="77777777" w:rsidR="00012D70" w:rsidRPr="0089741D" w:rsidRDefault="00012D70" w:rsidP="00433440">
            <w:pPr>
              <w:pStyle w:val="ListParagraph"/>
              <w:ind w:left="33"/>
            </w:pPr>
          </w:p>
        </w:tc>
        <w:tc>
          <w:tcPr>
            <w:tcW w:w="3118" w:type="dxa"/>
          </w:tcPr>
          <w:p w14:paraId="0B7DDBDD" w14:textId="77777777" w:rsidR="00012D70" w:rsidRPr="0089741D" w:rsidRDefault="00012D70" w:rsidP="00433440">
            <w:pPr>
              <w:pStyle w:val="ListParagraph"/>
              <w:ind w:left="36"/>
            </w:pPr>
          </w:p>
        </w:tc>
        <w:tc>
          <w:tcPr>
            <w:tcW w:w="3402" w:type="dxa"/>
          </w:tcPr>
          <w:p w14:paraId="7668536C" w14:textId="77777777" w:rsidR="00012D70" w:rsidRPr="0089741D" w:rsidRDefault="00012D70" w:rsidP="00433440">
            <w:pPr>
              <w:pStyle w:val="ListParagraph"/>
              <w:ind w:left="34"/>
            </w:pPr>
          </w:p>
        </w:tc>
      </w:tr>
      <w:tr w:rsidR="00012D70" w:rsidRPr="0089741D" w14:paraId="2F562F45" w14:textId="77777777" w:rsidTr="00DB13FF">
        <w:trPr>
          <w:trHeight w:val="177"/>
        </w:trPr>
        <w:tc>
          <w:tcPr>
            <w:tcW w:w="5382" w:type="dxa"/>
          </w:tcPr>
          <w:p w14:paraId="30BFDC71" w14:textId="77777777" w:rsidR="00012D70" w:rsidRPr="0089741D" w:rsidRDefault="00012D70" w:rsidP="00012D70">
            <w:pPr>
              <w:pStyle w:val="ListParagraph"/>
              <w:numPr>
                <w:ilvl w:val="0"/>
                <w:numId w:val="19"/>
              </w:numPr>
              <w:jc w:val="left"/>
            </w:pPr>
            <w:r w:rsidRPr="0089741D">
              <w:t xml:space="preserve">Managers and executives are supported to engage in supervision and leadership development opportunities. </w:t>
            </w:r>
          </w:p>
        </w:tc>
        <w:tc>
          <w:tcPr>
            <w:tcW w:w="1134" w:type="dxa"/>
          </w:tcPr>
          <w:p w14:paraId="4B78B351" w14:textId="77777777" w:rsidR="00012D70" w:rsidRPr="0089741D" w:rsidRDefault="00012D70" w:rsidP="00433440">
            <w:pPr>
              <w:pStyle w:val="ListParagraph"/>
              <w:ind w:left="33"/>
            </w:pPr>
          </w:p>
        </w:tc>
        <w:tc>
          <w:tcPr>
            <w:tcW w:w="3118" w:type="dxa"/>
          </w:tcPr>
          <w:p w14:paraId="70840337" w14:textId="77777777" w:rsidR="00012D70" w:rsidRPr="0089741D" w:rsidRDefault="00012D70" w:rsidP="00433440">
            <w:pPr>
              <w:pStyle w:val="ListParagraph"/>
              <w:ind w:left="0"/>
            </w:pPr>
          </w:p>
        </w:tc>
        <w:tc>
          <w:tcPr>
            <w:tcW w:w="3261" w:type="dxa"/>
          </w:tcPr>
          <w:p w14:paraId="137C3830" w14:textId="77777777" w:rsidR="00012D70" w:rsidRPr="0089741D" w:rsidRDefault="00012D70" w:rsidP="00433440">
            <w:pPr>
              <w:pStyle w:val="ListParagraph"/>
              <w:ind w:left="0"/>
            </w:pPr>
          </w:p>
        </w:tc>
        <w:tc>
          <w:tcPr>
            <w:tcW w:w="2126" w:type="dxa"/>
          </w:tcPr>
          <w:p w14:paraId="1F844FCC" w14:textId="77777777" w:rsidR="00012D70" w:rsidRPr="0089741D" w:rsidRDefault="00012D70" w:rsidP="00433440">
            <w:pPr>
              <w:pStyle w:val="ListParagraph"/>
              <w:ind w:left="33"/>
            </w:pPr>
          </w:p>
        </w:tc>
        <w:tc>
          <w:tcPr>
            <w:tcW w:w="3118" w:type="dxa"/>
          </w:tcPr>
          <w:p w14:paraId="31F60E17" w14:textId="77777777" w:rsidR="00012D70" w:rsidRPr="0089741D" w:rsidRDefault="00012D70" w:rsidP="00433440">
            <w:pPr>
              <w:pStyle w:val="ListParagraph"/>
              <w:ind w:left="36"/>
            </w:pPr>
          </w:p>
        </w:tc>
        <w:tc>
          <w:tcPr>
            <w:tcW w:w="3402" w:type="dxa"/>
          </w:tcPr>
          <w:p w14:paraId="47875F0C" w14:textId="77777777" w:rsidR="00012D70" w:rsidRPr="0089741D" w:rsidRDefault="00012D70" w:rsidP="00433440">
            <w:pPr>
              <w:pStyle w:val="ListParagraph"/>
              <w:ind w:left="34"/>
            </w:pPr>
          </w:p>
        </w:tc>
      </w:tr>
      <w:tr w:rsidR="00012D70" w:rsidRPr="0089741D" w14:paraId="1B1D6B20" w14:textId="77777777" w:rsidTr="00DB13FF">
        <w:trPr>
          <w:trHeight w:val="848"/>
        </w:trPr>
        <w:tc>
          <w:tcPr>
            <w:tcW w:w="5382" w:type="dxa"/>
          </w:tcPr>
          <w:p w14:paraId="186030BA" w14:textId="77777777" w:rsidR="00012D70" w:rsidRPr="0089741D" w:rsidRDefault="00012D70" w:rsidP="00012D70">
            <w:pPr>
              <w:pStyle w:val="ListParagraph"/>
              <w:numPr>
                <w:ilvl w:val="0"/>
                <w:numId w:val="19"/>
              </w:numPr>
              <w:jc w:val="left"/>
            </w:pPr>
            <w:r w:rsidRPr="0089741D">
              <w:t>Regular performance appraisal and professional development planning are provided for all staff and managers.</w:t>
            </w:r>
          </w:p>
        </w:tc>
        <w:tc>
          <w:tcPr>
            <w:tcW w:w="1134" w:type="dxa"/>
          </w:tcPr>
          <w:p w14:paraId="3D3A0E10" w14:textId="77777777" w:rsidR="00012D70" w:rsidRPr="0089741D" w:rsidRDefault="00012D70" w:rsidP="00433440">
            <w:pPr>
              <w:pStyle w:val="ListParagraph"/>
              <w:ind w:left="33"/>
            </w:pPr>
          </w:p>
        </w:tc>
        <w:tc>
          <w:tcPr>
            <w:tcW w:w="3118" w:type="dxa"/>
          </w:tcPr>
          <w:p w14:paraId="773A4204" w14:textId="77777777" w:rsidR="00012D70" w:rsidRPr="0089741D" w:rsidRDefault="00012D70" w:rsidP="00433440">
            <w:pPr>
              <w:pStyle w:val="ListParagraph"/>
              <w:ind w:left="0"/>
            </w:pPr>
          </w:p>
        </w:tc>
        <w:tc>
          <w:tcPr>
            <w:tcW w:w="3261" w:type="dxa"/>
          </w:tcPr>
          <w:p w14:paraId="11039B3A" w14:textId="77777777" w:rsidR="00012D70" w:rsidRPr="0089741D" w:rsidRDefault="00012D70" w:rsidP="00433440">
            <w:pPr>
              <w:pStyle w:val="ListParagraph"/>
              <w:ind w:left="0"/>
            </w:pPr>
          </w:p>
        </w:tc>
        <w:tc>
          <w:tcPr>
            <w:tcW w:w="2126" w:type="dxa"/>
          </w:tcPr>
          <w:p w14:paraId="5266B8A4" w14:textId="77777777" w:rsidR="00012D70" w:rsidRPr="0089741D" w:rsidRDefault="00012D70" w:rsidP="00433440">
            <w:pPr>
              <w:pStyle w:val="ListParagraph"/>
              <w:ind w:left="33"/>
            </w:pPr>
          </w:p>
        </w:tc>
        <w:tc>
          <w:tcPr>
            <w:tcW w:w="3118" w:type="dxa"/>
          </w:tcPr>
          <w:p w14:paraId="49C64ABD" w14:textId="77777777" w:rsidR="00012D70" w:rsidRPr="0089741D" w:rsidRDefault="00012D70" w:rsidP="00433440">
            <w:pPr>
              <w:pStyle w:val="ListParagraph"/>
              <w:ind w:left="36"/>
            </w:pPr>
          </w:p>
        </w:tc>
        <w:tc>
          <w:tcPr>
            <w:tcW w:w="3402" w:type="dxa"/>
          </w:tcPr>
          <w:p w14:paraId="572E025C" w14:textId="77777777" w:rsidR="00012D70" w:rsidRPr="0089741D" w:rsidRDefault="00012D70" w:rsidP="00433440">
            <w:pPr>
              <w:pStyle w:val="ListParagraph"/>
              <w:ind w:left="34"/>
            </w:pPr>
          </w:p>
        </w:tc>
      </w:tr>
    </w:tbl>
    <w:p w14:paraId="61B60118" w14:textId="32FB5B6C" w:rsidR="00012D70" w:rsidRDefault="00012D70" w:rsidP="00012D70"/>
    <w:p w14:paraId="6FEF0AA9" w14:textId="13C24B36" w:rsidR="00012D70" w:rsidRDefault="00012D70" w:rsidP="00012D70">
      <w:pPr>
        <w:pStyle w:val="Heading3"/>
      </w:pPr>
      <w:r>
        <w:t xml:space="preserve">Standard </w:t>
      </w:r>
      <w:r w:rsidRPr="0089741D">
        <w:t>9.2 The service is committed to supporting staff health and wellbeing.</w:t>
      </w:r>
    </w:p>
    <w:p w14:paraId="3AB5B175" w14:textId="77777777" w:rsidR="00012D70" w:rsidRPr="0089741D" w:rsidRDefault="00012D70" w:rsidP="00012D70">
      <w:r w:rsidRPr="0089741D">
        <w:t>HSS: (5) Governance and management</w:t>
      </w:r>
    </w:p>
    <w:p w14:paraId="3883FE0B" w14:textId="21CC2790" w:rsidR="00012D70" w:rsidRDefault="00012D70" w:rsidP="00012D70">
      <w:r w:rsidRPr="0089741D">
        <w:t>QGF</w:t>
      </w:r>
      <w:r>
        <w:t xml:space="preserve"> domains</w:t>
      </w:r>
      <w:r w:rsidRPr="0089741D">
        <w:t>:</w:t>
      </w:r>
      <w:r>
        <w:t xml:space="preserve"> Workforce; Leadership and culture</w:t>
      </w:r>
    </w:p>
    <w:p w14:paraId="30169209" w14:textId="6CED2B20" w:rsidR="00012D70" w:rsidRDefault="00012D70" w:rsidP="00012D70"/>
    <w:tbl>
      <w:tblPr>
        <w:tblStyle w:val="TableGridLight"/>
        <w:tblW w:w="21541" w:type="dxa"/>
        <w:tblLook w:val="0020" w:firstRow="1" w:lastRow="0" w:firstColumn="0" w:lastColumn="0" w:noHBand="0" w:noVBand="0"/>
      </w:tblPr>
      <w:tblGrid>
        <w:gridCol w:w="5382"/>
        <w:gridCol w:w="1134"/>
        <w:gridCol w:w="3118"/>
        <w:gridCol w:w="3261"/>
        <w:gridCol w:w="2126"/>
        <w:gridCol w:w="3118"/>
        <w:gridCol w:w="3402"/>
      </w:tblGrid>
      <w:tr w:rsidR="00012D70" w:rsidRPr="0089741D" w14:paraId="63817318" w14:textId="77777777" w:rsidTr="00DB13FF">
        <w:trPr>
          <w:trHeight w:val="70"/>
        </w:trPr>
        <w:tc>
          <w:tcPr>
            <w:tcW w:w="5382" w:type="dxa"/>
            <w:shd w:val="clear" w:color="auto" w:fill="F2F2F2" w:themeFill="background1" w:themeFillShade="F2"/>
          </w:tcPr>
          <w:p w14:paraId="4417EE40" w14:textId="77777777" w:rsidR="00012D70" w:rsidRPr="0089741D" w:rsidRDefault="00012D70" w:rsidP="00DB13FF">
            <w:r w:rsidRPr="0089741D">
              <w:t>INDICATORS</w:t>
            </w:r>
          </w:p>
        </w:tc>
        <w:tc>
          <w:tcPr>
            <w:tcW w:w="1134" w:type="dxa"/>
            <w:shd w:val="clear" w:color="auto" w:fill="F2F2F2" w:themeFill="background1" w:themeFillShade="F2"/>
          </w:tcPr>
          <w:p w14:paraId="651BDC39" w14:textId="77777777" w:rsidR="00012D70" w:rsidRPr="0089741D" w:rsidRDefault="00012D70" w:rsidP="00DB13FF">
            <w:r w:rsidRPr="0089741D">
              <w:t>RATING</w:t>
            </w:r>
          </w:p>
        </w:tc>
        <w:tc>
          <w:tcPr>
            <w:tcW w:w="3118" w:type="dxa"/>
            <w:shd w:val="clear" w:color="auto" w:fill="F2F2F2" w:themeFill="background1" w:themeFillShade="F2"/>
          </w:tcPr>
          <w:p w14:paraId="78DC61C7" w14:textId="77777777" w:rsidR="00012D70" w:rsidRPr="0089741D" w:rsidRDefault="00012D70" w:rsidP="00DB13FF">
            <w:r w:rsidRPr="0089741D">
              <w:t>EVIDENCE</w:t>
            </w:r>
          </w:p>
        </w:tc>
        <w:tc>
          <w:tcPr>
            <w:tcW w:w="3261" w:type="dxa"/>
            <w:shd w:val="clear" w:color="auto" w:fill="F2F2F2" w:themeFill="background1" w:themeFillShade="F2"/>
          </w:tcPr>
          <w:p w14:paraId="399FFEC9" w14:textId="77777777" w:rsidR="00012D70" w:rsidRPr="0089741D" w:rsidRDefault="00012D70" w:rsidP="00DB13FF">
            <w:r w:rsidRPr="0089741D">
              <w:t xml:space="preserve">IMPROVEMENT ACTIONS </w:t>
            </w:r>
          </w:p>
        </w:tc>
        <w:tc>
          <w:tcPr>
            <w:tcW w:w="2126" w:type="dxa"/>
            <w:shd w:val="clear" w:color="auto" w:fill="F2F2F2" w:themeFill="background1" w:themeFillShade="F2"/>
          </w:tcPr>
          <w:p w14:paraId="49FE49A6" w14:textId="77777777" w:rsidR="00012D70" w:rsidRPr="0089741D" w:rsidRDefault="00012D70" w:rsidP="00DB13FF">
            <w:r w:rsidRPr="0089741D">
              <w:t>TIMEFRAME</w:t>
            </w:r>
          </w:p>
        </w:tc>
        <w:tc>
          <w:tcPr>
            <w:tcW w:w="3118" w:type="dxa"/>
            <w:shd w:val="clear" w:color="auto" w:fill="F2F2F2" w:themeFill="background1" w:themeFillShade="F2"/>
          </w:tcPr>
          <w:p w14:paraId="3B5C3CF9" w14:textId="77777777" w:rsidR="00012D70" w:rsidRPr="0089741D" w:rsidRDefault="00012D70" w:rsidP="00DB13FF">
            <w:r w:rsidRPr="0089741D">
              <w:t>PERSON(S) RESPONSIBLE</w:t>
            </w:r>
          </w:p>
        </w:tc>
        <w:tc>
          <w:tcPr>
            <w:tcW w:w="3402" w:type="dxa"/>
            <w:shd w:val="clear" w:color="auto" w:fill="F2F2F2" w:themeFill="background1" w:themeFillShade="F2"/>
          </w:tcPr>
          <w:p w14:paraId="5C9BE3DD" w14:textId="77777777" w:rsidR="00012D70" w:rsidRPr="0089741D" w:rsidRDefault="00012D70" w:rsidP="00DB13FF">
            <w:r w:rsidRPr="0089741D">
              <w:t>OUTCOME</w:t>
            </w:r>
          </w:p>
        </w:tc>
      </w:tr>
      <w:tr w:rsidR="00012D70" w:rsidRPr="0089741D" w14:paraId="565CC0A5" w14:textId="77777777" w:rsidTr="00DB13FF">
        <w:trPr>
          <w:trHeight w:val="848"/>
        </w:trPr>
        <w:tc>
          <w:tcPr>
            <w:tcW w:w="5382" w:type="dxa"/>
          </w:tcPr>
          <w:p w14:paraId="78294971" w14:textId="77777777" w:rsidR="00012D70" w:rsidRPr="0089741D" w:rsidRDefault="00012D70" w:rsidP="00012D70">
            <w:pPr>
              <w:pStyle w:val="ListParagraph"/>
              <w:numPr>
                <w:ilvl w:val="0"/>
                <w:numId w:val="25"/>
              </w:numPr>
              <w:jc w:val="left"/>
              <w:rPr>
                <w:rFonts w:eastAsia="Times"/>
                <w:lang w:val="en-US"/>
              </w:rPr>
            </w:pPr>
            <w:r w:rsidRPr="0089741D">
              <w:t xml:space="preserve">Workplace health and wellbeing strategies are implemented to recognise the impacts of responding to family violence and working within the context of structural oppression and social injustice. </w:t>
            </w:r>
          </w:p>
        </w:tc>
        <w:tc>
          <w:tcPr>
            <w:tcW w:w="1134" w:type="dxa"/>
          </w:tcPr>
          <w:p w14:paraId="62F35934" w14:textId="77777777" w:rsidR="00012D70" w:rsidRPr="0089741D" w:rsidRDefault="00012D70" w:rsidP="00433440">
            <w:pPr>
              <w:pStyle w:val="ListParagraph"/>
              <w:ind w:left="0"/>
            </w:pPr>
          </w:p>
        </w:tc>
        <w:tc>
          <w:tcPr>
            <w:tcW w:w="3118" w:type="dxa"/>
          </w:tcPr>
          <w:p w14:paraId="2CB20220" w14:textId="77777777" w:rsidR="00012D70" w:rsidRPr="0089741D" w:rsidRDefault="00012D70" w:rsidP="00DB13FF"/>
        </w:tc>
        <w:tc>
          <w:tcPr>
            <w:tcW w:w="3261" w:type="dxa"/>
          </w:tcPr>
          <w:p w14:paraId="44083E1F" w14:textId="77777777" w:rsidR="00012D70" w:rsidRPr="0089741D" w:rsidRDefault="00012D70" w:rsidP="00433440">
            <w:pPr>
              <w:pStyle w:val="ListParagraph"/>
              <w:ind w:left="37"/>
            </w:pPr>
          </w:p>
        </w:tc>
        <w:tc>
          <w:tcPr>
            <w:tcW w:w="2126" w:type="dxa"/>
          </w:tcPr>
          <w:p w14:paraId="0B440375" w14:textId="77777777" w:rsidR="00012D70" w:rsidRPr="0089741D" w:rsidRDefault="00012D70" w:rsidP="00433440">
            <w:pPr>
              <w:pStyle w:val="ListParagraph"/>
              <w:ind w:left="0"/>
            </w:pPr>
          </w:p>
        </w:tc>
        <w:tc>
          <w:tcPr>
            <w:tcW w:w="3118" w:type="dxa"/>
          </w:tcPr>
          <w:p w14:paraId="4B454AF6" w14:textId="77777777" w:rsidR="00012D70" w:rsidRPr="0089741D" w:rsidRDefault="00012D70" w:rsidP="00433440">
            <w:pPr>
              <w:pStyle w:val="ListParagraph"/>
              <w:ind w:left="0"/>
            </w:pPr>
          </w:p>
        </w:tc>
        <w:tc>
          <w:tcPr>
            <w:tcW w:w="3402" w:type="dxa"/>
          </w:tcPr>
          <w:p w14:paraId="3C59A6B2" w14:textId="77777777" w:rsidR="00012D70" w:rsidRPr="0089741D" w:rsidRDefault="00012D70" w:rsidP="00433440">
            <w:pPr>
              <w:pStyle w:val="ListParagraph"/>
              <w:ind w:left="0"/>
            </w:pPr>
          </w:p>
        </w:tc>
      </w:tr>
      <w:tr w:rsidR="00012D70" w:rsidRPr="0089741D" w14:paraId="59686121" w14:textId="77777777" w:rsidTr="00DB13FF">
        <w:trPr>
          <w:trHeight w:val="848"/>
        </w:trPr>
        <w:tc>
          <w:tcPr>
            <w:tcW w:w="5382" w:type="dxa"/>
          </w:tcPr>
          <w:p w14:paraId="3F576CCF" w14:textId="77777777" w:rsidR="00012D70" w:rsidRPr="0089741D" w:rsidRDefault="00012D70" w:rsidP="00012D70">
            <w:pPr>
              <w:pStyle w:val="ListParagraph"/>
              <w:numPr>
                <w:ilvl w:val="0"/>
                <w:numId w:val="25"/>
              </w:numPr>
              <w:jc w:val="left"/>
            </w:pPr>
            <w:r w:rsidRPr="0089741D">
              <w:t xml:space="preserve">A culture of mutual respect, teamwork and recognition of individual and collective achievements is fostered across the service. </w:t>
            </w:r>
          </w:p>
        </w:tc>
        <w:tc>
          <w:tcPr>
            <w:tcW w:w="1134" w:type="dxa"/>
          </w:tcPr>
          <w:p w14:paraId="17F60623" w14:textId="77777777" w:rsidR="00012D70" w:rsidRPr="0089741D" w:rsidRDefault="00012D70" w:rsidP="00433440">
            <w:pPr>
              <w:pStyle w:val="ListParagraph"/>
              <w:ind w:left="0"/>
            </w:pPr>
          </w:p>
        </w:tc>
        <w:tc>
          <w:tcPr>
            <w:tcW w:w="3118" w:type="dxa"/>
          </w:tcPr>
          <w:p w14:paraId="54562463" w14:textId="77777777" w:rsidR="00012D70" w:rsidRPr="0089741D" w:rsidRDefault="00012D70" w:rsidP="00DB13FF"/>
        </w:tc>
        <w:tc>
          <w:tcPr>
            <w:tcW w:w="3261" w:type="dxa"/>
          </w:tcPr>
          <w:p w14:paraId="07BEC23C" w14:textId="77777777" w:rsidR="00012D70" w:rsidRPr="0089741D" w:rsidRDefault="00012D70" w:rsidP="00433440">
            <w:pPr>
              <w:pStyle w:val="ListParagraph"/>
              <w:ind w:left="37"/>
            </w:pPr>
          </w:p>
        </w:tc>
        <w:tc>
          <w:tcPr>
            <w:tcW w:w="2126" w:type="dxa"/>
          </w:tcPr>
          <w:p w14:paraId="3C2E2A39" w14:textId="77777777" w:rsidR="00012D70" w:rsidRPr="0089741D" w:rsidRDefault="00012D70" w:rsidP="00433440">
            <w:pPr>
              <w:pStyle w:val="ListParagraph"/>
              <w:ind w:left="0"/>
            </w:pPr>
          </w:p>
        </w:tc>
        <w:tc>
          <w:tcPr>
            <w:tcW w:w="3118" w:type="dxa"/>
          </w:tcPr>
          <w:p w14:paraId="5216AFE9" w14:textId="77777777" w:rsidR="00012D70" w:rsidRPr="0089741D" w:rsidRDefault="00012D70" w:rsidP="00433440">
            <w:pPr>
              <w:pStyle w:val="ListParagraph"/>
              <w:ind w:left="0"/>
            </w:pPr>
          </w:p>
        </w:tc>
        <w:tc>
          <w:tcPr>
            <w:tcW w:w="3402" w:type="dxa"/>
          </w:tcPr>
          <w:p w14:paraId="4B676A5D" w14:textId="77777777" w:rsidR="00012D70" w:rsidRPr="0089741D" w:rsidRDefault="00012D70" w:rsidP="00433440">
            <w:pPr>
              <w:pStyle w:val="ListParagraph"/>
              <w:ind w:left="0"/>
            </w:pPr>
          </w:p>
        </w:tc>
      </w:tr>
      <w:tr w:rsidR="00012D70" w:rsidRPr="0089741D" w14:paraId="2336F41A" w14:textId="77777777" w:rsidTr="00DB13FF">
        <w:trPr>
          <w:trHeight w:val="848"/>
        </w:trPr>
        <w:tc>
          <w:tcPr>
            <w:tcW w:w="5382" w:type="dxa"/>
          </w:tcPr>
          <w:p w14:paraId="146305AF" w14:textId="77777777" w:rsidR="00012D70" w:rsidRPr="0089741D" w:rsidRDefault="00012D70" w:rsidP="00012D70">
            <w:pPr>
              <w:pStyle w:val="ListParagraph"/>
              <w:numPr>
                <w:ilvl w:val="0"/>
                <w:numId w:val="25"/>
              </w:numPr>
              <w:jc w:val="left"/>
            </w:pPr>
            <w:r w:rsidRPr="0089741D">
              <w:t xml:space="preserve">Practitioners are supported to participate in opportunities that connect their everyday work to broader social change campaigns.  </w:t>
            </w:r>
          </w:p>
        </w:tc>
        <w:tc>
          <w:tcPr>
            <w:tcW w:w="1134" w:type="dxa"/>
          </w:tcPr>
          <w:p w14:paraId="35DDC41F" w14:textId="77777777" w:rsidR="00012D70" w:rsidRPr="0089741D" w:rsidRDefault="00012D70" w:rsidP="00433440">
            <w:pPr>
              <w:pStyle w:val="ListParagraph"/>
              <w:ind w:left="0"/>
            </w:pPr>
          </w:p>
        </w:tc>
        <w:tc>
          <w:tcPr>
            <w:tcW w:w="3118" w:type="dxa"/>
          </w:tcPr>
          <w:p w14:paraId="17B99FEC" w14:textId="77777777" w:rsidR="00012D70" w:rsidRPr="0089741D" w:rsidRDefault="00012D70" w:rsidP="00DB13FF"/>
        </w:tc>
        <w:tc>
          <w:tcPr>
            <w:tcW w:w="3261" w:type="dxa"/>
          </w:tcPr>
          <w:p w14:paraId="4738DF39" w14:textId="77777777" w:rsidR="00012D70" w:rsidRPr="0089741D" w:rsidRDefault="00012D70" w:rsidP="00433440">
            <w:pPr>
              <w:pStyle w:val="ListParagraph"/>
              <w:ind w:left="37"/>
            </w:pPr>
          </w:p>
        </w:tc>
        <w:tc>
          <w:tcPr>
            <w:tcW w:w="2126" w:type="dxa"/>
          </w:tcPr>
          <w:p w14:paraId="6BD87A47" w14:textId="77777777" w:rsidR="00012D70" w:rsidRPr="0089741D" w:rsidRDefault="00012D70" w:rsidP="00433440">
            <w:pPr>
              <w:pStyle w:val="ListParagraph"/>
              <w:ind w:left="0"/>
            </w:pPr>
          </w:p>
        </w:tc>
        <w:tc>
          <w:tcPr>
            <w:tcW w:w="3118" w:type="dxa"/>
          </w:tcPr>
          <w:p w14:paraId="6AD7D733" w14:textId="77777777" w:rsidR="00012D70" w:rsidRPr="0089741D" w:rsidRDefault="00012D70" w:rsidP="00433440">
            <w:pPr>
              <w:pStyle w:val="ListParagraph"/>
              <w:ind w:left="0"/>
            </w:pPr>
          </w:p>
        </w:tc>
        <w:tc>
          <w:tcPr>
            <w:tcW w:w="3402" w:type="dxa"/>
          </w:tcPr>
          <w:p w14:paraId="75679E75" w14:textId="77777777" w:rsidR="00012D70" w:rsidRPr="0089741D" w:rsidRDefault="00012D70" w:rsidP="00433440">
            <w:pPr>
              <w:pStyle w:val="ListParagraph"/>
              <w:ind w:left="0"/>
            </w:pPr>
          </w:p>
        </w:tc>
      </w:tr>
      <w:tr w:rsidR="00012D70" w:rsidRPr="0089741D" w14:paraId="7A1CEA9F" w14:textId="77777777" w:rsidTr="00DB13FF">
        <w:trPr>
          <w:trHeight w:val="848"/>
        </w:trPr>
        <w:tc>
          <w:tcPr>
            <w:tcW w:w="5382" w:type="dxa"/>
          </w:tcPr>
          <w:p w14:paraId="0E3F5E31" w14:textId="77777777" w:rsidR="00012D70" w:rsidRPr="0089741D" w:rsidRDefault="00012D70" w:rsidP="00012D70">
            <w:pPr>
              <w:pStyle w:val="ListParagraph"/>
              <w:numPr>
                <w:ilvl w:val="0"/>
                <w:numId w:val="25"/>
              </w:numPr>
              <w:jc w:val="left"/>
            </w:pPr>
            <w:r w:rsidRPr="0089741D">
              <w:t xml:space="preserve">A Family Violence Leave Policy and confidential support strategies are implemented for staff who experience family violence.  </w:t>
            </w:r>
          </w:p>
        </w:tc>
        <w:tc>
          <w:tcPr>
            <w:tcW w:w="1134" w:type="dxa"/>
          </w:tcPr>
          <w:p w14:paraId="300D41FD" w14:textId="77777777" w:rsidR="00012D70" w:rsidRPr="0089741D" w:rsidRDefault="00012D70" w:rsidP="00433440">
            <w:pPr>
              <w:pStyle w:val="ListParagraph"/>
              <w:ind w:left="0"/>
            </w:pPr>
          </w:p>
        </w:tc>
        <w:tc>
          <w:tcPr>
            <w:tcW w:w="3118" w:type="dxa"/>
          </w:tcPr>
          <w:p w14:paraId="07A945A1" w14:textId="77777777" w:rsidR="00012D70" w:rsidRPr="0089741D" w:rsidRDefault="00012D70" w:rsidP="00DB13FF"/>
        </w:tc>
        <w:tc>
          <w:tcPr>
            <w:tcW w:w="3261" w:type="dxa"/>
          </w:tcPr>
          <w:p w14:paraId="03E0E63E" w14:textId="77777777" w:rsidR="00012D70" w:rsidRPr="0089741D" w:rsidRDefault="00012D70" w:rsidP="00433440">
            <w:pPr>
              <w:pStyle w:val="ListParagraph"/>
              <w:ind w:left="37"/>
            </w:pPr>
          </w:p>
        </w:tc>
        <w:tc>
          <w:tcPr>
            <w:tcW w:w="2126" w:type="dxa"/>
          </w:tcPr>
          <w:p w14:paraId="65ED8734" w14:textId="77777777" w:rsidR="00012D70" w:rsidRPr="0089741D" w:rsidRDefault="00012D70" w:rsidP="00433440">
            <w:pPr>
              <w:pStyle w:val="ListParagraph"/>
              <w:ind w:left="0"/>
            </w:pPr>
          </w:p>
        </w:tc>
        <w:tc>
          <w:tcPr>
            <w:tcW w:w="3118" w:type="dxa"/>
          </w:tcPr>
          <w:p w14:paraId="6468B5F2" w14:textId="77777777" w:rsidR="00012D70" w:rsidRPr="0089741D" w:rsidRDefault="00012D70" w:rsidP="00433440">
            <w:pPr>
              <w:pStyle w:val="ListParagraph"/>
              <w:ind w:left="0"/>
            </w:pPr>
          </w:p>
        </w:tc>
        <w:tc>
          <w:tcPr>
            <w:tcW w:w="3402" w:type="dxa"/>
          </w:tcPr>
          <w:p w14:paraId="2018FFE0" w14:textId="77777777" w:rsidR="00012D70" w:rsidRPr="0089741D" w:rsidRDefault="00012D70" w:rsidP="00433440">
            <w:pPr>
              <w:pStyle w:val="ListParagraph"/>
              <w:ind w:left="0"/>
            </w:pPr>
          </w:p>
        </w:tc>
      </w:tr>
      <w:tr w:rsidR="00012D70" w:rsidRPr="0089741D" w14:paraId="1F247B34" w14:textId="77777777" w:rsidTr="00DB13FF">
        <w:trPr>
          <w:trHeight w:val="848"/>
        </w:trPr>
        <w:tc>
          <w:tcPr>
            <w:tcW w:w="5382" w:type="dxa"/>
          </w:tcPr>
          <w:p w14:paraId="4261C315" w14:textId="77777777" w:rsidR="00012D70" w:rsidRPr="0089741D" w:rsidRDefault="00012D70" w:rsidP="00012D70">
            <w:pPr>
              <w:pStyle w:val="ListParagraph"/>
              <w:numPr>
                <w:ilvl w:val="0"/>
                <w:numId w:val="25"/>
              </w:numPr>
              <w:jc w:val="left"/>
              <w:rPr>
                <w:rFonts w:eastAsia="Times"/>
                <w:lang w:val="en-US"/>
              </w:rPr>
            </w:pPr>
            <w:bookmarkStart w:id="3" w:name="_Hlk21697678"/>
            <w:r w:rsidRPr="0089741D">
              <w:lastRenderedPageBreak/>
              <w:t>Access to an external Employee Assistance Program and debriefing processes for reportable and critical incidents are provided.</w:t>
            </w:r>
            <w:bookmarkEnd w:id="3"/>
          </w:p>
        </w:tc>
        <w:tc>
          <w:tcPr>
            <w:tcW w:w="1134" w:type="dxa"/>
          </w:tcPr>
          <w:p w14:paraId="3B85D711" w14:textId="77777777" w:rsidR="00012D70" w:rsidRPr="0089741D" w:rsidRDefault="00012D70" w:rsidP="00433440">
            <w:pPr>
              <w:pStyle w:val="ListParagraph"/>
              <w:ind w:left="0"/>
            </w:pPr>
          </w:p>
        </w:tc>
        <w:tc>
          <w:tcPr>
            <w:tcW w:w="3118" w:type="dxa"/>
          </w:tcPr>
          <w:p w14:paraId="18988A3C" w14:textId="77777777" w:rsidR="00012D70" w:rsidRPr="0089741D" w:rsidRDefault="00012D70" w:rsidP="00DB13FF"/>
        </w:tc>
        <w:tc>
          <w:tcPr>
            <w:tcW w:w="3261" w:type="dxa"/>
          </w:tcPr>
          <w:p w14:paraId="2EFBD838" w14:textId="77777777" w:rsidR="00012D70" w:rsidRPr="0089741D" w:rsidRDefault="00012D70" w:rsidP="00433440">
            <w:pPr>
              <w:pStyle w:val="ListParagraph"/>
              <w:ind w:left="37"/>
            </w:pPr>
          </w:p>
        </w:tc>
        <w:tc>
          <w:tcPr>
            <w:tcW w:w="2126" w:type="dxa"/>
          </w:tcPr>
          <w:p w14:paraId="0EA2AD92" w14:textId="77777777" w:rsidR="00012D70" w:rsidRPr="0089741D" w:rsidRDefault="00012D70" w:rsidP="00433440">
            <w:pPr>
              <w:pStyle w:val="ListParagraph"/>
              <w:ind w:left="0"/>
            </w:pPr>
          </w:p>
        </w:tc>
        <w:tc>
          <w:tcPr>
            <w:tcW w:w="3118" w:type="dxa"/>
          </w:tcPr>
          <w:p w14:paraId="11E9699F" w14:textId="77777777" w:rsidR="00012D70" w:rsidRPr="0089741D" w:rsidRDefault="00012D70" w:rsidP="00433440">
            <w:pPr>
              <w:pStyle w:val="ListParagraph"/>
              <w:ind w:left="0"/>
            </w:pPr>
          </w:p>
        </w:tc>
        <w:tc>
          <w:tcPr>
            <w:tcW w:w="3402" w:type="dxa"/>
          </w:tcPr>
          <w:p w14:paraId="4285B95A" w14:textId="77777777" w:rsidR="00012D70" w:rsidRPr="0089741D" w:rsidRDefault="00012D70" w:rsidP="00433440">
            <w:pPr>
              <w:pStyle w:val="ListParagraph"/>
              <w:ind w:left="0"/>
            </w:pPr>
          </w:p>
        </w:tc>
      </w:tr>
    </w:tbl>
    <w:p w14:paraId="619C4BE1" w14:textId="77777777" w:rsidR="00012D70" w:rsidRDefault="00012D70" w:rsidP="00012D70"/>
    <w:p w14:paraId="78A3F539" w14:textId="77777777" w:rsidR="00012D70" w:rsidRDefault="00012D70" w:rsidP="00012D70">
      <w:pPr>
        <w:pStyle w:val="Heading2"/>
      </w:pPr>
      <w:r w:rsidRPr="0089741D">
        <w:t>Principle 10: Quality Governance and Leadership</w:t>
      </w:r>
    </w:p>
    <w:p w14:paraId="40F8AD52" w14:textId="0D4FEC46" w:rsidR="002A206A" w:rsidRDefault="00012D70" w:rsidP="00012D70">
      <w:pPr>
        <w:pStyle w:val="Heading3"/>
      </w:pPr>
      <w:r>
        <w:t xml:space="preserve">Standard </w:t>
      </w:r>
      <w:r w:rsidRPr="0089741D">
        <w:t>10.1 Governance structures ensure a specialist family violence response for victim-survivors.</w:t>
      </w:r>
    </w:p>
    <w:p w14:paraId="22B34550" w14:textId="77777777" w:rsidR="00012D70" w:rsidRPr="0089741D" w:rsidRDefault="00012D70" w:rsidP="00012D70">
      <w:r w:rsidRPr="0089741D">
        <w:t xml:space="preserve">HSS: (5) Governance and management </w:t>
      </w:r>
    </w:p>
    <w:p w14:paraId="0EA9C9E6" w14:textId="06473357" w:rsidR="00012D70" w:rsidRDefault="00012D70" w:rsidP="00012D70">
      <w:r w:rsidRPr="0089741D">
        <w:t>QGF</w:t>
      </w:r>
      <w:r>
        <w:t xml:space="preserve"> domains</w:t>
      </w:r>
      <w:r w:rsidRPr="0089741D">
        <w:t>:</w:t>
      </w:r>
      <w:r>
        <w:t xml:space="preserve"> Best practice; Leadership and culture</w:t>
      </w:r>
    </w:p>
    <w:p w14:paraId="74894A2F" w14:textId="51EFF0C3" w:rsidR="00012D70" w:rsidRDefault="00012D70" w:rsidP="00012D70"/>
    <w:tbl>
      <w:tblPr>
        <w:tblStyle w:val="TableGridLight"/>
        <w:tblW w:w="21541" w:type="dxa"/>
        <w:tblLook w:val="0020" w:firstRow="1" w:lastRow="0" w:firstColumn="0" w:lastColumn="0" w:noHBand="0" w:noVBand="0"/>
      </w:tblPr>
      <w:tblGrid>
        <w:gridCol w:w="5382"/>
        <w:gridCol w:w="1134"/>
        <w:gridCol w:w="3118"/>
        <w:gridCol w:w="3261"/>
        <w:gridCol w:w="2126"/>
        <w:gridCol w:w="3118"/>
        <w:gridCol w:w="3402"/>
      </w:tblGrid>
      <w:tr w:rsidR="00012D70" w:rsidRPr="0089741D" w14:paraId="64853FDC" w14:textId="77777777" w:rsidTr="00DB13FF">
        <w:trPr>
          <w:trHeight w:val="70"/>
        </w:trPr>
        <w:tc>
          <w:tcPr>
            <w:tcW w:w="5382" w:type="dxa"/>
            <w:shd w:val="clear" w:color="auto" w:fill="F2F2F2" w:themeFill="background1" w:themeFillShade="F2"/>
          </w:tcPr>
          <w:p w14:paraId="4027F079" w14:textId="77777777" w:rsidR="00012D70" w:rsidRPr="0089741D" w:rsidRDefault="00012D70" w:rsidP="00DB13FF">
            <w:r w:rsidRPr="0089741D">
              <w:t xml:space="preserve">INDICATORS </w:t>
            </w:r>
          </w:p>
        </w:tc>
        <w:tc>
          <w:tcPr>
            <w:tcW w:w="1134" w:type="dxa"/>
            <w:shd w:val="clear" w:color="auto" w:fill="F2F2F2" w:themeFill="background1" w:themeFillShade="F2"/>
          </w:tcPr>
          <w:p w14:paraId="57411C82" w14:textId="77777777" w:rsidR="00012D70" w:rsidRPr="0089741D" w:rsidRDefault="00012D70" w:rsidP="00DB13FF">
            <w:r w:rsidRPr="0089741D">
              <w:t>RATING</w:t>
            </w:r>
          </w:p>
        </w:tc>
        <w:tc>
          <w:tcPr>
            <w:tcW w:w="3118" w:type="dxa"/>
            <w:shd w:val="clear" w:color="auto" w:fill="F2F2F2" w:themeFill="background1" w:themeFillShade="F2"/>
          </w:tcPr>
          <w:p w14:paraId="77EF9D29" w14:textId="77777777" w:rsidR="00012D70" w:rsidRPr="0089741D" w:rsidRDefault="00012D70" w:rsidP="00DB13FF">
            <w:r w:rsidRPr="0089741D">
              <w:t>EVIDENCE</w:t>
            </w:r>
          </w:p>
        </w:tc>
        <w:tc>
          <w:tcPr>
            <w:tcW w:w="3261" w:type="dxa"/>
            <w:shd w:val="clear" w:color="auto" w:fill="F2F2F2" w:themeFill="background1" w:themeFillShade="F2"/>
          </w:tcPr>
          <w:p w14:paraId="3E6D2A5A" w14:textId="77777777" w:rsidR="00012D70" w:rsidRPr="0089741D" w:rsidRDefault="00012D70" w:rsidP="00DB13FF">
            <w:r w:rsidRPr="0089741D">
              <w:t xml:space="preserve">IMPROVEMENT ACTIONS </w:t>
            </w:r>
          </w:p>
        </w:tc>
        <w:tc>
          <w:tcPr>
            <w:tcW w:w="2126" w:type="dxa"/>
            <w:shd w:val="clear" w:color="auto" w:fill="F2F2F2" w:themeFill="background1" w:themeFillShade="F2"/>
          </w:tcPr>
          <w:p w14:paraId="7CFE8D4B" w14:textId="77777777" w:rsidR="00012D70" w:rsidRPr="0089741D" w:rsidRDefault="00012D70" w:rsidP="00DB13FF">
            <w:r w:rsidRPr="0089741D">
              <w:t>TIMEFRAME</w:t>
            </w:r>
          </w:p>
        </w:tc>
        <w:tc>
          <w:tcPr>
            <w:tcW w:w="3118" w:type="dxa"/>
            <w:shd w:val="clear" w:color="auto" w:fill="F2F2F2" w:themeFill="background1" w:themeFillShade="F2"/>
          </w:tcPr>
          <w:p w14:paraId="4C7F64D7" w14:textId="77777777" w:rsidR="00012D70" w:rsidRPr="0089741D" w:rsidRDefault="00012D70" w:rsidP="00DB13FF">
            <w:r w:rsidRPr="0089741D">
              <w:t>PERSON(S) RESPONSIBLE</w:t>
            </w:r>
          </w:p>
        </w:tc>
        <w:tc>
          <w:tcPr>
            <w:tcW w:w="3402" w:type="dxa"/>
            <w:shd w:val="clear" w:color="auto" w:fill="F2F2F2" w:themeFill="background1" w:themeFillShade="F2"/>
          </w:tcPr>
          <w:p w14:paraId="4E4C69D7" w14:textId="77777777" w:rsidR="00012D70" w:rsidRPr="0089741D" w:rsidRDefault="00012D70" w:rsidP="00DB13FF">
            <w:r w:rsidRPr="0089741D">
              <w:t>OUTCOME</w:t>
            </w:r>
          </w:p>
        </w:tc>
      </w:tr>
      <w:tr w:rsidR="00012D70" w:rsidRPr="0089741D" w14:paraId="477F5490" w14:textId="77777777" w:rsidTr="00DB13FF">
        <w:trPr>
          <w:trHeight w:val="956"/>
        </w:trPr>
        <w:tc>
          <w:tcPr>
            <w:tcW w:w="5382" w:type="dxa"/>
          </w:tcPr>
          <w:p w14:paraId="66EFC432" w14:textId="77777777" w:rsidR="00012D70" w:rsidRPr="0089741D" w:rsidRDefault="00012D70" w:rsidP="00012D70">
            <w:pPr>
              <w:pStyle w:val="ListParagraph"/>
              <w:numPr>
                <w:ilvl w:val="0"/>
                <w:numId w:val="21"/>
              </w:numPr>
              <w:jc w:val="left"/>
            </w:pPr>
            <w:r w:rsidRPr="0089741D">
              <w:t xml:space="preserve">A commitment to the </w:t>
            </w:r>
            <w:r w:rsidRPr="0089741D">
              <w:rPr>
                <w:i/>
                <w:iCs/>
              </w:rPr>
              <w:t>Code of Practice</w:t>
            </w:r>
            <w:r w:rsidRPr="0089741D">
              <w:t xml:space="preserve"> is implemented throughout the service’s organisational systems (e.g. governance, values, strategic planning, policies, workforce development).   </w:t>
            </w:r>
          </w:p>
        </w:tc>
        <w:tc>
          <w:tcPr>
            <w:tcW w:w="1134" w:type="dxa"/>
          </w:tcPr>
          <w:p w14:paraId="174693E0" w14:textId="77777777" w:rsidR="00012D70" w:rsidRPr="0089741D" w:rsidRDefault="00012D70" w:rsidP="00012D70"/>
        </w:tc>
        <w:tc>
          <w:tcPr>
            <w:tcW w:w="3118" w:type="dxa"/>
          </w:tcPr>
          <w:p w14:paraId="09A3A676" w14:textId="77777777" w:rsidR="00012D70" w:rsidRPr="0089741D" w:rsidRDefault="00012D70" w:rsidP="00012D70">
            <w:pPr>
              <w:pStyle w:val="ListParagraph"/>
              <w:ind w:left="39"/>
            </w:pPr>
          </w:p>
        </w:tc>
        <w:tc>
          <w:tcPr>
            <w:tcW w:w="3261" w:type="dxa"/>
          </w:tcPr>
          <w:p w14:paraId="6635A52D" w14:textId="77777777" w:rsidR="00012D70" w:rsidRPr="0089741D" w:rsidRDefault="00012D70" w:rsidP="00433440">
            <w:pPr>
              <w:pStyle w:val="ListParagraph"/>
              <w:ind w:left="0"/>
            </w:pPr>
          </w:p>
        </w:tc>
        <w:tc>
          <w:tcPr>
            <w:tcW w:w="2126" w:type="dxa"/>
          </w:tcPr>
          <w:p w14:paraId="330EA4E9" w14:textId="77777777" w:rsidR="00012D70" w:rsidRPr="0089741D" w:rsidRDefault="00012D70" w:rsidP="00433440">
            <w:pPr>
              <w:pStyle w:val="ListParagraph"/>
              <w:ind w:left="0"/>
            </w:pPr>
          </w:p>
        </w:tc>
        <w:tc>
          <w:tcPr>
            <w:tcW w:w="3118" w:type="dxa"/>
          </w:tcPr>
          <w:p w14:paraId="53D95842" w14:textId="77777777" w:rsidR="00012D70" w:rsidRPr="0089741D" w:rsidRDefault="00012D70" w:rsidP="00433440">
            <w:pPr>
              <w:pStyle w:val="ListParagraph"/>
              <w:ind w:left="0"/>
            </w:pPr>
          </w:p>
        </w:tc>
        <w:tc>
          <w:tcPr>
            <w:tcW w:w="3402" w:type="dxa"/>
          </w:tcPr>
          <w:p w14:paraId="541BBF1B" w14:textId="77777777" w:rsidR="00012D70" w:rsidRPr="0089741D" w:rsidRDefault="00012D70" w:rsidP="00433440">
            <w:pPr>
              <w:pStyle w:val="ListParagraph"/>
              <w:ind w:left="0"/>
            </w:pPr>
          </w:p>
        </w:tc>
      </w:tr>
      <w:tr w:rsidR="00012D70" w:rsidRPr="0089741D" w14:paraId="47CC3EAD" w14:textId="77777777" w:rsidTr="00DB13FF">
        <w:trPr>
          <w:trHeight w:val="578"/>
        </w:trPr>
        <w:tc>
          <w:tcPr>
            <w:tcW w:w="5382" w:type="dxa"/>
          </w:tcPr>
          <w:p w14:paraId="7ADBE569" w14:textId="77777777" w:rsidR="00012D70" w:rsidRPr="0089741D" w:rsidRDefault="00012D70" w:rsidP="00012D70">
            <w:pPr>
              <w:pStyle w:val="ListParagraph"/>
              <w:numPr>
                <w:ilvl w:val="0"/>
                <w:numId w:val="21"/>
              </w:numPr>
              <w:jc w:val="left"/>
            </w:pPr>
            <w:r w:rsidRPr="0089741D">
              <w:t>The service design is informed by evidence-based understanding of family violence, gendered analysis, intersectional feminist framework and person-centred approaches.</w:t>
            </w:r>
          </w:p>
        </w:tc>
        <w:tc>
          <w:tcPr>
            <w:tcW w:w="1134" w:type="dxa"/>
          </w:tcPr>
          <w:p w14:paraId="60FCE9D3" w14:textId="77777777" w:rsidR="00012D70" w:rsidRPr="0089741D" w:rsidRDefault="00012D70" w:rsidP="00012D70"/>
        </w:tc>
        <w:tc>
          <w:tcPr>
            <w:tcW w:w="3118" w:type="dxa"/>
          </w:tcPr>
          <w:p w14:paraId="61A32715" w14:textId="77777777" w:rsidR="00012D70" w:rsidRPr="0089741D" w:rsidRDefault="00012D70" w:rsidP="00012D70">
            <w:pPr>
              <w:pStyle w:val="ListParagraph"/>
              <w:ind w:left="39"/>
            </w:pPr>
          </w:p>
        </w:tc>
        <w:tc>
          <w:tcPr>
            <w:tcW w:w="3261" w:type="dxa"/>
          </w:tcPr>
          <w:p w14:paraId="4B1F2BE4" w14:textId="77777777" w:rsidR="00012D70" w:rsidRPr="0089741D" w:rsidRDefault="00012D70" w:rsidP="00433440">
            <w:pPr>
              <w:pStyle w:val="ListParagraph"/>
              <w:ind w:left="0"/>
            </w:pPr>
          </w:p>
        </w:tc>
        <w:tc>
          <w:tcPr>
            <w:tcW w:w="2126" w:type="dxa"/>
          </w:tcPr>
          <w:p w14:paraId="05E3ACD0" w14:textId="77777777" w:rsidR="00012D70" w:rsidRPr="0089741D" w:rsidRDefault="00012D70" w:rsidP="00433440">
            <w:pPr>
              <w:pStyle w:val="ListParagraph"/>
              <w:ind w:left="0"/>
            </w:pPr>
          </w:p>
        </w:tc>
        <w:tc>
          <w:tcPr>
            <w:tcW w:w="3118" w:type="dxa"/>
          </w:tcPr>
          <w:p w14:paraId="0A695905" w14:textId="77777777" w:rsidR="00012D70" w:rsidRPr="0089741D" w:rsidRDefault="00012D70" w:rsidP="00433440">
            <w:pPr>
              <w:pStyle w:val="ListParagraph"/>
              <w:ind w:left="0"/>
            </w:pPr>
          </w:p>
        </w:tc>
        <w:tc>
          <w:tcPr>
            <w:tcW w:w="3402" w:type="dxa"/>
          </w:tcPr>
          <w:p w14:paraId="0688C3CD" w14:textId="77777777" w:rsidR="00012D70" w:rsidRPr="0089741D" w:rsidRDefault="00012D70" w:rsidP="00433440">
            <w:pPr>
              <w:pStyle w:val="ListParagraph"/>
              <w:ind w:left="0"/>
            </w:pPr>
          </w:p>
        </w:tc>
      </w:tr>
      <w:tr w:rsidR="00012D70" w:rsidRPr="0089741D" w14:paraId="1004D3E2" w14:textId="77777777" w:rsidTr="00012D70">
        <w:trPr>
          <w:trHeight w:val="1503"/>
        </w:trPr>
        <w:tc>
          <w:tcPr>
            <w:tcW w:w="5382" w:type="dxa"/>
          </w:tcPr>
          <w:p w14:paraId="018D5D53" w14:textId="77777777" w:rsidR="00012D70" w:rsidRPr="0002228F" w:rsidRDefault="00012D70" w:rsidP="00012D70">
            <w:pPr>
              <w:pStyle w:val="ListParagraph"/>
              <w:numPr>
                <w:ilvl w:val="0"/>
                <w:numId w:val="21"/>
              </w:numPr>
              <w:jc w:val="left"/>
            </w:pPr>
            <w:r w:rsidRPr="0089741D">
              <w:t>The service is committed to maintaining the distinct role of specialist family violence services and practitioners as dedicated advocates working for the rights and interests of victim-survivors of family violence</w:t>
            </w:r>
            <w:r>
              <w:t>.</w:t>
            </w:r>
          </w:p>
        </w:tc>
        <w:tc>
          <w:tcPr>
            <w:tcW w:w="1134" w:type="dxa"/>
          </w:tcPr>
          <w:p w14:paraId="2741F0E7" w14:textId="77777777" w:rsidR="00012D70" w:rsidRPr="0089741D" w:rsidRDefault="00012D70" w:rsidP="00012D70"/>
        </w:tc>
        <w:tc>
          <w:tcPr>
            <w:tcW w:w="3118" w:type="dxa"/>
          </w:tcPr>
          <w:p w14:paraId="27C386CB" w14:textId="77777777" w:rsidR="00012D70" w:rsidRPr="0089741D" w:rsidRDefault="00012D70" w:rsidP="00012D70">
            <w:pPr>
              <w:pStyle w:val="ListParagraph"/>
              <w:ind w:left="39"/>
            </w:pPr>
          </w:p>
        </w:tc>
        <w:tc>
          <w:tcPr>
            <w:tcW w:w="3261" w:type="dxa"/>
          </w:tcPr>
          <w:p w14:paraId="1316D38E" w14:textId="77777777" w:rsidR="00012D70" w:rsidRPr="0089741D" w:rsidRDefault="00012D70" w:rsidP="00433440">
            <w:pPr>
              <w:pStyle w:val="ListParagraph"/>
              <w:ind w:left="0"/>
            </w:pPr>
          </w:p>
        </w:tc>
        <w:tc>
          <w:tcPr>
            <w:tcW w:w="2126" w:type="dxa"/>
          </w:tcPr>
          <w:p w14:paraId="6DBEBA73" w14:textId="77777777" w:rsidR="00012D70" w:rsidRPr="0089741D" w:rsidRDefault="00012D70" w:rsidP="00433440">
            <w:pPr>
              <w:pStyle w:val="ListParagraph"/>
              <w:ind w:left="0"/>
            </w:pPr>
          </w:p>
        </w:tc>
        <w:tc>
          <w:tcPr>
            <w:tcW w:w="3118" w:type="dxa"/>
          </w:tcPr>
          <w:p w14:paraId="4903B763" w14:textId="77777777" w:rsidR="00012D70" w:rsidRPr="0089741D" w:rsidRDefault="00012D70" w:rsidP="00433440">
            <w:pPr>
              <w:pStyle w:val="ListParagraph"/>
              <w:ind w:left="0"/>
            </w:pPr>
          </w:p>
        </w:tc>
        <w:tc>
          <w:tcPr>
            <w:tcW w:w="3402" w:type="dxa"/>
          </w:tcPr>
          <w:p w14:paraId="5355720A" w14:textId="77777777" w:rsidR="00012D70" w:rsidRPr="0089741D" w:rsidRDefault="00012D70" w:rsidP="00433440"/>
        </w:tc>
      </w:tr>
    </w:tbl>
    <w:p w14:paraId="7CF4387C" w14:textId="41D09E3B" w:rsidR="00012D70" w:rsidRDefault="00012D70" w:rsidP="00012D70"/>
    <w:p w14:paraId="7B531ADB" w14:textId="71E459E7" w:rsidR="00012D70" w:rsidRDefault="00012D70" w:rsidP="00012D70">
      <w:pPr>
        <w:pStyle w:val="Heading3"/>
      </w:pPr>
      <w:r>
        <w:t xml:space="preserve">Standard </w:t>
      </w:r>
      <w:r w:rsidRPr="0089741D">
        <w:t xml:space="preserve">10.2 The service demonstrates accountability to victim-survivors of family violence.  </w:t>
      </w:r>
    </w:p>
    <w:p w14:paraId="37F1FD63" w14:textId="77777777" w:rsidR="00012D70" w:rsidRPr="0089741D" w:rsidRDefault="00012D70" w:rsidP="00012D70">
      <w:r w:rsidRPr="0089741D">
        <w:t xml:space="preserve">HSS: (1) Empowerment; (4) Participation </w:t>
      </w:r>
    </w:p>
    <w:p w14:paraId="79D8438A" w14:textId="01FCAF7F" w:rsidR="00012D70" w:rsidRDefault="00012D70" w:rsidP="00012D70">
      <w:r w:rsidRPr="0089741D">
        <w:t>QGF</w:t>
      </w:r>
      <w:r>
        <w:t xml:space="preserve"> domains</w:t>
      </w:r>
      <w:r w:rsidRPr="0089741D">
        <w:t>: Client and family partnerships</w:t>
      </w:r>
      <w:r>
        <w:t>; Workforce; Best practice; Risk management</w:t>
      </w:r>
    </w:p>
    <w:p w14:paraId="55E54BB0" w14:textId="589593C0" w:rsidR="00012D70" w:rsidRDefault="00012D70" w:rsidP="00012D70"/>
    <w:tbl>
      <w:tblPr>
        <w:tblStyle w:val="TableGridLight"/>
        <w:tblW w:w="21541" w:type="dxa"/>
        <w:tblLook w:val="0020" w:firstRow="1" w:lastRow="0" w:firstColumn="0" w:lastColumn="0" w:noHBand="0" w:noVBand="0"/>
      </w:tblPr>
      <w:tblGrid>
        <w:gridCol w:w="5382"/>
        <w:gridCol w:w="1134"/>
        <w:gridCol w:w="3118"/>
        <w:gridCol w:w="3261"/>
        <w:gridCol w:w="2126"/>
        <w:gridCol w:w="3118"/>
        <w:gridCol w:w="3402"/>
      </w:tblGrid>
      <w:tr w:rsidR="00012D70" w:rsidRPr="0089741D" w14:paraId="0074725C" w14:textId="77777777" w:rsidTr="00DB13FF">
        <w:trPr>
          <w:trHeight w:val="70"/>
        </w:trPr>
        <w:tc>
          <w:tcPr>
            <w:tcW w:w="5382" w:type="dxa"/>
            <w:shd w:val="clear" w:color="auto" w:fill="F2F2F2" w:themeFill="background1" w:themeFillShade="F2"/>
          </w:tcPr>
          <w:p w14:paraId="534BAD0E" w14:textId="77777777" w:rsidR="00012D70" w:rsidRPr="0089741D" w:rsidRDefault="00012D70" w:rsidP="00DB13FF">
            <w:r w:rsidRPr="0089741D">
              <w:t>INDICATORS</w:t>
            </w:r>
          </w:p>
        </w:tc>
        <w:tc>
          <w:tcPr>
            <w:tcW w:w="1134" w:type="dxa"/>
            <w:shd w:val="clear" w:color="auto" w:fill="F2F2F2" w:themeFill="background1" w:themeFillShade="F2"/>
          </w:tcPr>
          <w:p w14:paraId="193AD4EB" w14:textId="77777777" w:rsidR="00012D70" w:rsidRPr="0089741D" w:rsidRDefault="00012D70" w:rsidP="00DB13FF">
            <w:r w:rsidRPr="0089741D">
              <w:t>RATING</w:t>
            </w:r>
          </w:p>
        </w:tc>
        <w:tc>
          <w:tcPr>
            <w:tcW w:w="3118" w:type="dxa"/>
            <w:shd w:val="clear" w:color="auto" w:fill="F2F2F2" w:themeFill="background1" w:themeFillShade="F2"/>
          </w:tcPr>
          <w:p w14:paraId="01070541" w14:textId="77777777" w:rsidR="00012D70" w:rsidRPr="0089741D" w:rsidRDefault="00012D70" w:rsidP="00DB13FF">
            <w:r w:rsidRPr="0089741D">
              <w:t>EVIDENCE</w:t>
            </w:r>
          </w:p>
        </w:tc>
        <w:tc>
          <w:tcPr>
            <w:tcW w:w="3261" w:type="dxa"/>
            <w:shd w:val="clear" w:color="auto" w:fill="F2F2F2" w:themeFill="background1" w:themeFillShade="F2"/>
          </w:tcPr>
          <w:p w14:paraId="056145D7" w14:textId="77777777" w:rsidR="00012D70" w:rsidRPr="0089741D" w:rsidRDefault="00012D70" w:rsidP="00DB13FF">
            <w:r w:rsidRPr="0089741D">
              <w:t xml:space="preserve">IMPROVEMENT ACTIONS </w:t>
            </w:r>
          </w:p>
        </w:tc>
        <w:tc>
          <w:tcPr>
            <w:tcW w:w="2126" w:type="dxa"/>
            <w:shd w:val="clear" w:color="auto" w:fill="F2F2F2" w:themeFill="background1" w:themeFillShade="F2"/>
          </w:tcPr>
          <w:p w14:paraId="7FC0F78F" w14:textId="77777777" w:rsidR="00012D70" w:rsidRPr="0089741D" w:rsidRDefault="00012D70" w:rsidP="00DB13FF">
            <w:r w:rsidRPr="0089741D">
              <w:t>TIMEFRAME</w:t>
            </w:r>
          </w:p>
        </w:tc>
        <w:tc>
          <w:tcPr>
            <w:tcW w:w="3118" w:type="dxa"/>
            <w:shd w:val="clear" w:color="auto" w:fill="F2F2F2" w:themeFill="background1" w:themeFillShade="F2"/>
          </w:tcPr>
          <w:p w14:paraId="28E625F7" w14:textId="77777777" w:rsidR="00012D70" w:rsidRPr="0089741D" w:rsidRDefault="00012D70" w:rsidP="00DB13FF">
            <w:r w:rsidRPr="0089741D">
              <w:t>PERSON(S) RESPONSIBLE</w:t>
            </w:r>
          </w:p>
        </w:tc>
        <w:tc>
          <w:tcPr>
            <w:tcW w:w="3402" w:type="dxa"/>
            <w:shd w:val="clear" w:color="auto" w:fill="F2F2F2" w:themeFill="background1" w:themeFillShade="F2"/>
          </w:tcPr>
          <w:p w14:paraId="204B3672" w14:textId="77777777" w:rsidR="00012D70" w:rsidRPr="0089741D" w:rsidRDefault="00012D70" w:rsidP="00DB13FF">
            <w:r w:rsidRPr="0089741D">
              <w:t>OUTCOME</w:t>
            </w:r>
          </w:p>
        </w:tc>
      </w:tr>
      <w:tr w:rsidR="00012D70" w:rsidRPr="0089741D" w14:paraId="39C4048B" w14:textId="77777777" w:rsidTr="00DB13FF">
        <w:trPr>
          <w:trHeight w:val="1132"/>
        </w:trPr>
        <w:tc>
          <w:tcPr>
            <w:tcW w:w="5382" w:type="dxa"/>
          </w:tcPr>
          <w:p w14:paraId="0E53D6B7" w14:textId="293BCEFD" w:rsidR="00012D70" w:rsidRPr="0089741D" w:rsidRDefault="00B8232A" w:rsidP="00B8232A">
            <w:pPr>
              <w:pStyle w:val="ListParagraph"/>
              <w:numPr>
                <w:ilvl w:val="0"/>
                <w:numId w:val="22"/>
              </w:numPr>
              <w:jc w:val="left"/>
            </w:pPr>
            <w:r>
              <w:t>The lived experience of those who are impacted by family violence (victim-survivors, friends and family, and community) is acknowledged and made visible in communication materials and at public speaking engagements.</w:t>
            </w:r>
          </w:p>
        </w:tc>
        <w:tc>
          <w:tcPr>
            <w:tcW w:w="1134" w:type="dxa"/>
          </w:tcPr>
          <w:p w14:paraId="4160F32A" w14:textId="77777777" w:rsidR="00012D70" w:rsidRPr="0089741D" w:rsidRDefault="00012D70" w:rsidP="00433440">
            <w:pPr>
              <w:pStyle w:val="ListParagraph"/>
              <w:ind w:left="0"/>
            </w:pPr>
          </w:p>
        </w:tc>
        <w:tc>
          <w:tcPr>
            <w:tcW w:w="3118" w:type="dxa"/>
          </w:tcPr>
          <w:p w14:paraId="3F5D5894" w14:textId="77777777" w:rsidR="00012D70" w:rsidRPr="0089741D" w:rsidRDefault="00012D70" w:rsidP="00433440">
            <w:pPr>
              <w:pStyle w:val="ListParagraph"/>
              <w:ind w:left="0"/>
            </w:pPr>
          </w:p>
        </w:tc>
        <w:tc>
          <w:tcPr>
            <w:tcW w:w="3261" w:type="dxa"/>
          </w:tcPr>
          <w:p w14:paraId="7B1BFE7A" w14:textId="77777777" w:rsidR="00012D70" w:rsidRPr="0089741D" w:rsidRDefault="00012D70" w:rsidP="00433440">
            <w:pPr>
              <w:pStyle w:val="ListParagraph"/>
              <w:ind w:left="0"/>
            </w:pPr>
          </w:p>
        </w:tc>
        <w:tc>
          <w:tcPr>
            <w:tcW w:w="2126" w:type="dxa"/>
          </w:tcPr>
          <w:p w14:paraId="7BFE90EB" w14:textId="77777777" w:rsidR="00012D70" w:rsidRPr="0089741D" w:rsidRDefault="00012D70" w:rsidP="00433440">
            <w:pPr>
              <w:pStyle w:val="ListParagraph"/>
              <w:ind w:left="0"/>
            </w:pPr>
          </w:p>
        </w:tc>
        <w:tc>
          <w:tcPr>
            <w:tcW w:w="3118" w:type="dxa"/>
          </w:tcPr>
          <w:p w14:paraId="700A7849" w14:textId="77777777" w:rsidR="00012D70" w:rsidRPr="0089741D" w:rsidRDefault="00012D70" w:rsidP="00433440">
            <w:pPr>
              <w:pStyle w:val="ListParagraph"/>
              <w:ind w:left="0"/>
            </w:pPr>
          </w:p>
        </w:tc>
        <w:tc>
          <w:tcPr>
            <w:tcW w:w="3402" w:type="dxa"/>
          </w:tcPr>
          <w:p w14:paraId="5CB57E88" w14:textId="77777777" w:rsidR="00012D70" w:rsidRPr="0089741D" w:rsidRDefault="00012D70" w:rsidP="00433440">
            <w:pPr>
              <w:pStyle w:val="ListParagraph"/>
              <w:ind w:left="0"/>
            </w:pPr>
          </w:p>
        </w:tc>
      </w:tr>
      <w:tr w:rsidR="00012D70" w:rsidRPr="0089741D" w14:paraId="4605CC4A" w14:textId="77777777" w:rsidTr="00DB13FF">
        <w:trPr>
          <w:trHeight w:val="1132"/>
        </w:trPr>
        <w:tc>
          <w:tcPr>
            <w:tcW w:w="5382" w:type="dxa"/>
          </w:tcPr>
          <w:p w14:paraId="2FEF19DF" w14:textId="77777777" w:rsidR="00012D70" w:rsidRPr="0089741D" w:rsidRDefault="00012D70" w:rsidP="00012D70">
            <w:pPr>
              <w:pStyle w:val="ListParagraph"/>
              <w:numPr>
                <w:ilvl w:val="0"/>
                <w:numId w:val="22"/>
              </w:numPr>
              <w:jc w:val="left"/>
            </w:pPr>
            <w:r w:rsidRPr="0089741D">
              <w:t xml:space="preserve">Victim-survivors are informed about how to make complaints to the service and to the Department of Health and Human Services and how their complaint will be reviewed and resolved. </w:t>
            </w:r>
          </w:p>
        </w:tc>
        <w:tc>
          <w:tcPr>
            <w:tcW w:w="1134" w:type="dxa"/>
          </w:tcPr>
          <w:p w14:paraId="02C03D88" w14:textId="77777777" w:rsidR="00012D70" w:rsidRPr="0089741D" w:rsidRDefault="00012D70" w:rsidP="00433440">
            <w:pPr>
              <w:pStyle w:val="ListParagraph"/>
              <w:ind w:left="0"/>
            </w:pPr>
          </w:p>
        </w:tc>
        <w:tc>
          <w:tcPr>
            <w:tcW w:w="3118" w:type="dxa"/>
          </w:tcPr>
          <w:p w14:paraId="240542C1" w14:textId="77777777" w:rsidR="00012D70" w:rsidRPr="0089741D" w:rsidRDefault="00012D70" w:rsidP="00433440">
            <w:pPr>
              <w:pStyle w:val="ListParagraph"/>
              <w:ind w:left="0"/>
            </w:pPr>
          </w:p>
        </w:tc>
        <w:tc>
          <w:tcPr>
            <w:tcW w:w="3261" w:type="dxa"/>
          </w:tcPr>
          <w:p w14:paraId="78DEB05E" w14:textId="77777777" w:rsidR="00012D70" w:rsidRPr="0089741D" w:rsidRDefault="00012D70" w:rsidP="00433440">
            <w:pPr>
              <w:pStyle w:val="ListParagraph"/>
              <w:ind w:left="0"/>
            </w:pPr>
          </w:p>
        </w:tc>
        <w:tc>
          <w:tcPr>
            <w:tcW w:w="2126" w:type="dxa"/>
          </w:tcPr>
          <w:p w14:paraId="1220F738" w14:textId="77777777" w:rsidR="00012D70" w:rsidRPr="0089741D" w:rsidRDefault="00012D70" w:rsidP="00433440">
            <w:pPr>
              <w:pStyle w:val="ListParagraph"/>
              <w:ind w:left="0"/>
            </w:pPr>
          </w:p>
        </w:tc>
        <w:tc>
          <w:tcPr>
            <w:tcW w:w="3118" w:type="dxa"/>
          </w:tcPr>
          <w:p w14:paraId="15B8D692" w14:textId="77777777" w:rsidR="00012D70" w:rsidRPr="0089741D" w:rsidRDefault="00012D70" w:rsidP="00433440">
            <w:pPr>
              <w:pStyle w:val="ListParagraph"/>
              <w:ind w:left="0"/>
            </w:pPr>
          </w:p>
        </w:tc>
        <w:tc>
          <w:tcPr>
            <w:tcW w:w="3402" w:type="dxa"/>
          </w:tcPr>
          <w:p w14:paraId="6F0C4D7E" w14:textId="77777777" w:rsidR="00012D70" w:rsidRPr="0089741D" w:rsidRDefault="00012D70" w:rsidP="00433440">
            <w:pPr>
              <w:pStyle w:val="ListParagraph"/>
              <w:ind w:left="0"/>
            </w:pPr>
          </w:p>
        </w:tc>
      </w:tr>
      <w:tr w:rsidR="00012D70" w:rsidRPr="0089741D" w14:paraId="79F6FF91" w14:textId="77777777" w:rsidTr="00DB13FF">
        <w:trPr>
          <w:trHeight w:val="941"/>
        </w:trPr>
        <w:tc>
          <w:tcPr>
            <w:tcW w:w="5382" w:type="dxa"/>
          </w:tcPr>
          <w:p w14:paraId="677B13EA" w14:textId="24C12D68" w:rsidR="00012D70" w:rsidRPr="0089741D" w:rsidRDefault="00012D70" w:rsidP="00012D70">
            <w:pPr>
              <w:pStyle w:val="ListParagraph"/>
              <w:numPr>
                <w:ilvl w:val="0"/>
                <w:numId w:val="22"/>
              </w:numPr>
              <w:jc w:val="left"/>
            </w:pPr>
            <w:r w:rsidRPr="0089741D">
              <w:t xml:space="preserve">Victim-survivors are proactively supported to meaningfully contribute to service governance through mechanisms such as strategic planning, continuous quality improvement activities, service review, and participation in boards/committees. </w:t>
            </w:r>
          </w:p>
        </w:tc>
        <w:tc>
          <w:tcPr>
            <w:tcW w:w="1134" w:type="dxa"/>
          </w:tcPr>
          <w:p w14:paraId="77B7DA76" w14:textId="77777777" w:rsidR="00012D70" w:rsidRPr="0089741D" w:rsidRDefault="00012D70" w:rsidP="00433440"/>
        </w:tc>
        <w:tc>
          <w:tcPr>
            <w:tcW w:w="3118" w:type="dxa"/>
          </w:tcPr>
          <w:p w14:paraId="6344D4A1" w14:textId="77777777" w:rsidR="00012D70" w:rsidRPr="0089741D" w:rsidRDefault="00012D70" w:rsidP="00433440">
            <w:pPr>
              <w:pStyle w:val="ListParagraph"/>
              <w:ind w:left="0"/>
            </w:pPr>
          </w:p>
        </w:tc>
        <w:tc>
          <w:tcPr>
            <w:tcW w:w="3261" w:type="dxa"/>
          </w:tcPr>
          <w:p w14:paraId="629E16C1" w14:textId="77777777" w:rsidR="00012D70" w:rsidRPr="0089741D" w:rsidRDefault="00012D70" w:rsidP="00433440">
            <w:pPr>
              <w:pStyle w:val="ListParagraph"/>
              <w:ind w:left="0"/>
            </w:pPr>
          </w:p>
        </w:tc>
        <w:tc>
          <w:tcPr>
            <w:tcW w:w="2126" w:type="dxa"/>
          </w:tcPr>
          <w:p w14:paraId="65DBC406" w14:textId="77777777" w:rsidR="00012D70" w:rsidRPr="0089741D" w:rsidRDefault="00012D70" w:rsidP="00433440">
            <w:pPr>
              <w:pStyle w:val="ListParagraph"/>
              <w:ind w:left="0"/>
            </w:pPr>
          </w:p>
        </w:tc>
        <w:tc>
          <w:tcPr>
            <w:tcW w:w="3118" w:type="dxa"/>
          </w:tcPr>
          <w:p w14:paraId="3AFC192F" w14:textId="77777777" w:rsidR="00012D70" w:rsidRPr="0089741D" w:rsidRDefault="00012D70" w:rsidP="00433440">
            <w:pPr>
              <w:pStyle w:val="ListParagraph"/>
              <w:ind w:left="0"/>
            </w:pPr>
          </w:p>
        </w:tc>
        <w:tc>
          <w:tcPr>
            <w:tcW w:w="3402" w:type="dxa"/>
          </w:tcPr>
          <w:p w14:paraId="745EF557" w14:textId="77777777" w:rsidR="00012D70" w:rsidRPr="0089741D" w:rsidRDefault="00012D70" w:rsidP="00433440">
            <w:pPr>
              <w:pStyle w:val="ListParagraph"/>
              <w:ind w:left="0"/>
            </w:pPr>
          </w:p>
        </w:tc>
      </w:tr>
      <w:tr w:rsidR="00012D70" w:rsidRPr="0089741D" w14:paraId="66340002" w14:textId="77777777" w:rsidTr="00DB13FF">
        <w:trPr>
          <w:trHeight w:val="324"/>
        </w:trPr>
        <w:tc>
          <w:tcPr>
            <w:tcW w:w="5382" w:type="dxa"/>
          </w:tcPr>
          <w:p w14:paraId="13B74C59" w14:textId="21F7AEEC" w:rsidR="00012D70" w:rsidRPr="0089741D" w:rsidRDefault="00012D70" w:rsidP="00012D70">
            <w:pPr>
              <w:pStyle w:val="ListParagraph"/>
              <w:numPr>
                <w:ilvl w:val="0"/>
                <w:numId w:val="22"/>
              </w:numPr>
              <w:jc w:val="left"/>
            </w:pPr>
            <w:r w:rsidRPr="0089741D">
              <w:t>Victim-survivors are proactively supported to participate in social change campaigns, advisory groups and ethical research opportunities.</w:t>
            </w:r>
          </w:p>
        </w:tc>
        <w:tc>
          <w:tcPr>
            <w:tcW w:w="1134" w:type="dxa"/>
          </w:tcPr>
          <w:p w14:paraId="79F8B0BE" w14:textId="77777777" w:rsidR="00012D70" w:rsidRPr="0089741D" w:rsidRDefault="00012D70" w:rsidP="00433440">
            <w:pPr>
              <w:pStyle w:val="ListParagraph"/>
              <w:ind w:left="0"/>
            </w:pPr>
          </w:p>
        </w:tc>
        <w:tc>
          <w:tcPr>
            <w:tcW w:w="3118" w:type="dxa"/>
          </w:tcPr>
          <w:p w14:paraId="54A174FD" w14:textId="77777777" w:rsidR="00012D70" w:rsidRPr="0089741D" w:rsidRDefault="00012D70" w:rsidP="00433440">
            <w:pPr>
              <w:pStyle w:val="ListParagraph"/>
              <w:ind w:left="0"/>
            </w:pPr>
          </w:p>
        </w:tc>
        <w:tc>
          <w:tcPr>
            <w:tcW w:w="3261" w:type="dxa"/>
          </w:tcPr>
          <w:p w14:paraId="5111F370" w14:textId="77777777" w:rsidR="00012D70" w:rsidRPr="0089741D" w:rsidRDefault="00012D70" w:rsidP="00433440">
            <w:pPr>
              <w:pStyle w:val="ListParagraph"/>
              <w:ind w:left="0"/>
            </w:pPr>
          </w:p>
        </w:tc>
        <w:tc>
          <w:tcPr>
            <w:tcW w:w="2126" w:type="dxa"/>
          </w:tcPr>
          <w:p w14:paraId="38B4EE3F" w14:textId="77777777" w:rsidR="00012D70" w:rsidRPr="0089741D" w:rsidRDefault="00012D70" w:rsidP="00433440">
            <w:pPr>
              <w:pStyle w:val="ListParagraph"/>
              <w:ind w:left="0"/>
            </w:pPr>
          </w:p>
        </w:tc>
        <w:tc>
          <w:tcPr>
            <w:tcW w:w="3118" w:type="dxa"/>
          </w:tcPr>
          <w:p w14:paraId="1024C992" w14:textId="77777777" w:rsidR="00012D70" w:rsidRPr="0089741D" w:rsidRDefault="00012D70" w:rsidP="00433440">
            <w:pPr>
              <w:pStyle w:val="ListParagraph"/>
              <w:ind w:left="0"/>
            </w:pPr>
          </w:p>
        </w:tc>
        <w:tc>
          <w:tcPr>
            <w:tcW w:w="3402" w:type="dxa"/>
          </w:tcPr>
          <w:p w14:paraId="6E55A1FB" w14:textId="77777777" w:rsidR="00012D70" w:rsidRPr="0089741D" w:rsidRDefault="00012D70" w:rsidP="00433440">
            <w:pPr>
              <w:pStyle w:val="ListParagraph"/>
              <w:ind w:left="0"/>
            </w:pPr>
          </w:p>
        </w:tc>
      </w:tr>
    </w:tbl>
    <w:p w14:paraId="7D522468" w14:textId="2016A0C6" w:rsidR="00012D70" w:rsidRDefault="00012D70" w:rsidP="00012D70"/>
    <w:p w14:paraId="1F22936A" w14:textId="38B29EC5" w:rsidR="00B8232A" w:rsidRDefault="00B8232A" w:rsidP="00012D70"/>
    <w:p w14:paraId="3781CA20" w14:textId="0934104F" w:rsidR="00B8232A" w:rsidRDefault="00B8232A" w:rsidP="00012D70"/>
    <w:p w14:paraId="2D6262A5" w14:textId="77777777" w:rsidR="00B8232A" w:rsidRDefault="00B8232A" w:rsidP="00012D70"/>
    <w:p w14:paraId="0E795934" w14:textId="485C0518" w:rsidR="00012D70" w:rsidRDefault="00B8232A" w:rsidP="00B8232A">
      <w:pPr>
        <w:pStyle w:val="Heading3"/>
      </w:pPr>
      <w:r>
        <w:lastRenderedPageBreak/>
        <w:t xml:space="preserve">Standard </w:t>
      </w:r>
      <w:r w:rsidRPr="0089741D">
        <w:t>10.3 The service is committed to a vision of high-quality services.</w:t>
      </w:r>
    </w:p>
    <w:p w14:paraId="5A40CA68" w14:textId="77777777" w:rsidR="00B8232A" w:rsidRPr="0089741D" w:rsidRDefault="00B8232A" w:rsidP="00B8232A">
      <w:r w:rsidRPr="0089741D">
        <w:t xml:space="preserve">HSS: (5) Governance and management </w:t>
      </w:r>
    </w:p>
    <w:p w14:paraId="0D3C3819" w14:textId="6E012C91" w:rsidR="00B8232A" w:rsidRDefault="00B8232A" w:rsidP="00B8232A">
      <w:r w:rsidRPr="0089741D">
        <w:t>QGF</w:t>
      </w:r>
      <w:r>
        <w:t xml:space="preserve"> domains</w:t>
      </w:r>
      <w:r w:rsidRPr="0089741D">
        <w:t>:</w:t>
      </w:r>
      <w:r>
        <w:t xml:space="preserve"> Workforce; Risk management; Leadership and culture</w:t>
      </w:r>
    </w:p>
    <w:p w14:paraId="3E17A499" w14:textId="2C12470B" w:rsidR="00B8232A" w:rsidRDefault="00B8232A" w:rsidP="00B8232A"/>
    <w:tbl>
      <w:tblPr>
        <w:tblStyle w:val="TableGridLight"/>
        <w:tblW w:w="21541" w:type="dxa"/>
        <w:tblLook w:val="0020" w:firstRow="1" w:lastRow="0" w:firstColumn="0" w:lastColumn="0" w:noHBand="0" w:noVBand="0"/>
      </w:tblPr>
      <w:tblGrid>
        <w:gridCol w:w="5382"/>
        <w:gridCol w:w="1134"/>
        <w:gridCol w:w="3118"/>
        <w:gridCol w:w="3261"/>
        <w:gridCol w:w="2126"/>
        <w:gridCol w:w="3118"/>
        <w:gridCol w:w="3402"/>
      </w:tblGrid>
      <w:tr w:rsidR="00B8232A" w:rsidRPr="0089741D" w14:paraId="1118AE79" w14:textId="77777777" w:rsidTr="00DB13FF">
        <w:trPr>
          <w:trHeight w:val="327"/>
        </w:trPr>
        <w:tc>
          <w:tcPr>
            <w:tcW w:w="5382" w:type="dxa"/>
            <w:shd w:val="clear" w:color="auto" w:fill="F2F2F2" w:themeFill="background1" w:themeFillShade="F2"/>
          </w:tcPr>
          <w:p w14:paraId="24808E6A" w14:textId="77777777" w:rsidR="00B8232A" w:rsidRPr="0089741D" w:rsidRDefault="00B8232A" w:rsidP="00DB13FF">
            <w:r w:rsidRPr="0089741D">
              <w:t xml:space="preserve">INDICATORS </w:t>
            </w:r>
          </w:p>
        </w:tc>
        <w:tc>
          <w:tcPr>
            <w:tcW w:w="1134" w:type="dxa"/>
            <w:shd w:val="clear" w:color="auto" w:fill="F2F2F2" w:themeFill="background1" w:themeFillShade="F2"/>
          </w:tcPr>
          <w:p w14:paraId="72E42D8E" w14:textId="77777777" w:rsidR="00B8232A" w:rsidRPr="0089741D" w:rsidRDefault="00B8232A" w:rsidP="00DB13FF">
            <w:r w:rsidRPr="0089741D">
              <w:t>RATING</w:t>
            </w:r>
          </w:p>
        </w:tc>
        <w:tc>
          <w:tcPr>
            <w:tcW w:w="3118" w:type="dxa"/>
            <w:shd w:val="clear" w:color="auto" w:fill="F2F2F2" w:themeFill="background1" w:themeFillShade="F2"/>
          </w:tcPr>
          <w:p w14:paraId="36B49181" w14:textId="77777777" w:rsidR="00B8232A" w:rsidRPr="0089741D" w:rsidRDefault="00B8232A" w:rsidP="00DB13FF">
            <w:r w:rsidRPr="0089741D">
              <w:t>EVIDENCE</w:t>
            </w:r>
          </w:p>
        </w:tc>
        <w:tc>
          <w:tcPr>
            <w:tcW w:w="3261" w:type="dxa"/>
            <w:shd w:val="clear" w:color="auto" w:fill="F2F2F2" w:themeFill="background1" w:themeFillShade="F2"/>
          </w:tcPr>
          <w:p w14:paraId="483ED183" w14:textId="77777777" w:rsidR="00B8232A" w:rsidRPr="0089741D" w:rsidRDefault="00B8232A" w:rsidP="00DB13FF">
            <w:r w:rsidRPr="0089741D">
              <w:t xml:space="preserve">IMPROVEMENT ACTIONS </w:t>
            </w:r>
          </w:p>
        </w:tc>
        <w:tc>
          <w:tcPr>
            <w:tcW w:w="2126" w:type="dxa"/>
            <w:shd w:val="clear" w:color="auto" w:fill="F2F2F2" w:themeFill="background1" w:themeFillShade="F2"/>
          </w:tcPr>
          <w:p w14:paraId="2CF86BA7" w14:textId="77777777" w:rsidR="00B8232A" w:rsidRPr="0089741D" w:rsidRDefault="00B8232A" w:rsidP="00DB13FF">
            <w:r w:rsidRPr="0089741D">
              <w:t>TIMEFRAME</w:t>
            </w:r>
          </w:p>
        </w:tc>
        <w:tc>
          <w:tcPr>
            <w:tcW w:w="3118" w:type="dxa"/>
            <w:shd w:val="clear" w:color="auto" w:fill="F2F2F2" w:themeFill="background1" w:themeFillShade="F2"/>
          </w:tcPr>
          <w:p w14:paraId="5146B012" w14:textId="77777777" w:rsidR="00B8232A" w:rsidRPr="0089741D" w:rsidRDefault="00B8232A" w:rsidP="00DB13FF">
            <w:r w:rsidRPr="0089741D">
              <w:t>PERSON(S) RESPONSIBLE</w:t>
            </w:r>
          </w:p>
        </w:tc>
        <w:tc>
          <w:tcPr>
            <w:tcW w:w="3402" w:type="dxa"/>
            <w:shd w:val="clear" w:color="auto" w:fill="F2F2F2" w:themeFill="background1" w:themeFillShade="F2"/>
          </w:tcPr>
          <w:p w14:paraId="1FDD8A8B" w14:textId="77777777" w:rsidR="00B8232A" w:rsidRPr="0089741D" w:rsidRDefault="00B8232A" w:rsidP="00DB13FF">
            <w:r w:rsidRPr="0089741D">
              <w:t>OUTCOME</w:t>
            </w:r>
          </w:p>
        </w:tc>
      </w:tr>
      <w:tr w:rsidR="00B8232A" w:rsidRPr="0089741D" w14:paraId="44A2085F" w14:textId="77777777" w:rsidTr="00DB13FF">
        <w:trPr>
          <w:trHeight w:val="846"/>
        </w:trPr>
        <w:tc>
          <w:tcPr>
            <w:tcW w:w="5382" w:type="dxa"/>
          </w:tcPr>
          <w:p w14:paraId="7AE9FF5E" w14:textId="77777777" w:rsidR="00B8232A" w:rsidRPr="0089741D" w:rsidRDefault="00B8232A" w:rsidP="00B8232A">
            <w:pPr>
              <w:pStyle w:val="ListParagraph"/>
              <w:numPr>
                <w:ilvl w:val="0"/>
                <w:numId w:val="23"/>
              </w:numPr>
              <w:jc w:val="left"/>
            </w:pPr>
            <w:r w:rsidRPr="0089741D">
              <w:t>Compliance with quality governance and accreditation standards is demonstrated according to government requirements and independent review outcomes are linked to continuous improvement actions.</w:t>
            </w:r>
          </w:p>
        </w:tc>
        <w:tc>
          <w:tcPr>
            <w:tcW w:w="1134" w:type="dxa"/>
          </w:tcPr>
          <w:p w14:paraId="7DF6A7D0" w14:textId="3CA071E0" w:rsidR="00B8232A" w:rsidRPr="0089741D" w:rsidRDefault="00B8232A" w:rsidP="00433440">
            <w:pPr>
              <w:pStyle w:val="ListParagraph"/>
              <w:ind w:left="33"/>
            </w:pPr>
          </w:p>
        </w:tc>
        <w:tc>
          <w:tcPr>
            <w:tcW w:w="3118" w:type="dxa"/>
          </w:tcPr>
          <w:p w14:paraId="7A90E1B3" w14:textId="77777777" w:rsidR="00B8232A" w:rsidRPr="0089741D" w:rsidRDefault="00B8232A" w:rsidP="00433440">
            <w:pPr>
              <w:pStyle w:val="ListParagraph"/>
              <w:ind w:left="0"/>
            </w:pPr>
          </w:p>
        </w:tc>
        <w:tc>
          <w:tcPr>
            <w:tcW w:w="3261" w:type="dxa"/>
          </w:tcPr>
          <w:p w14:paraId="232F9C12" w14:textId="77777777" w:rsidR="00B8232A" w:rsidRPr="0089741D" w:rsidRDefault="00B8232A" w:rsidP="00433440">
            <w:pPr>
              <w:pStyle w:val="ListParagraph"/>
              <w:ind w:left="0"/>
            </w:pPr>
          </w:p>
        </w:tc>
        <w:tc>
          <w:tcPr>
            <w:tcW w:w="2126" w:type="dxa"/>
          </w:tcPr>
          <w:p w14:paraId="748324BE" w14:textId="77777777" w:rsidR="00B8232A" w:rsidRPr="0089741D" w:rsidRDefault="00B8232A" w:rsidP="00433440">
            <w:pPr>
              <w:pStyle w:val="ListParagraph"/>
              <w:ind w:left="0"/>
            </w:pPr>
          </w:p>
        </w:tc>
        <w:tc>
          <w:tcPr>
            <w:tcW w:w="3118" w:type="dxa"/>
          </w:tcPr>
          <w:p w14:paraId="662594CB" w14:textId="77777777" w:rsidR="00B8232A" w:rsidRPr="0089741D" w:rsidRDefault="00B8232A" w:rsidP="00433440">
            <w:pPr>
              <w:pStyle w:val="ListParagraph"/>
              <w:ind w:left="0"/>
            </w:pPr>
          </w:p>
        </w:tc>
        <w:tc>
          <w:tcPr>
            <w:tcW w:w="3402" w:type="dxa"/>
          </w:tcPr>
          <w:p w14:paraId="4ACA0EAE" w14:textId="77777777" w:rsidR="00B8232A" w:rsidRPr="0089741D" w:rsidRDefault="00B8232A" w:rsidP="00433440">
            <w:pPr>
              <w:pStyle w:val="ListParagraph"/>
              <w:ind w:left="0"/>
            </w:pPr>
          </w:p>
        </w:tc>
      </w:tr>
      <w:tr w:rsidR="00B8232A" w:rsidRPr="0089741D" w14:paraId="356B3A9E" w14:textId="77777777" w:rsidTr="00DB13FF">
        <w:trPr>
          <w:trHeight w:val="736"/>
        </w:trPr>
        <w:tc>
          <w:tcPr>
            <w:tcW w:w="5382" w:type="dxa"/>
          </w:tcPr>
          <w:p w14:paraId="1727F237" w14:textId="77777777" w:rsidR="00B8232A" w:rsidRPr="0089741D" w:rsidRDefault="00B8232A" w:rsidP="00B8232A">
            <w:pPr>
              <w:pStyle w:val="ListParagraph"/>
              <w:numPr>
                <w:ilvl w:val="0"/>
                <w:numId w:val="23"/>
              </w:numPr>
              <w:jc w:val="left"/>
            </w:pPr>
            <w:r w:rsidRPr="0089741D">
              <w:t>Organisational risk management systems are implemented to identify, mitigate and review potential risks to quality and sustainable service provision.</w:t>
            </w:r>
          </w:p>
        </w:tc>
        <w:tc>
          <w:tcPr>
            <w:tcW w:w="1134" w:type="dxa"/>
          </w:tcPr>
          <w:p w14:paraId="7283E951" w14:textId="77777777" w:rsidR="00B8232A" w:rsidRPr="0089741D" w:rsidRDefault="00B8232A" w:rsidP="00433440">
            <w:pPr>
              <w:pStyle w:val="ListParagraph"/>
              <w:ind w:left="33"/>
            </w:pPr>
          </w:p>
        </w:tc>
        <w:tc>
          <w:tcPr>
            <w:tcW w:w="3118" w:type="dxa"/>
          </w:tcPr>
          <w:p w14:paraId="499AB140" w14:textId="77777777" w:rsidR="00B8232A" w:rsidRPr="0089741D" w:rsidRDefault="00B8232A" w:rsidP="00433440">
            <w:pPr>
              <w:pStyle w:val="ListParagraph"/>
              <w:ind w:left="0"/>
            </w:pPr>
          </w:p>
        </w:tc>
        <w:tc>
          <w:tcPr>
            <w:tcW w:w="3261" w:type="dxa"/>
          </w:tcPr>
          <w:p w14:paraId="4E8EC296" w14:textId="77777777" w:rsidR="00B8232A" w:rsidRPr="0089741D" w:rsidRDefault="00B8232A" w:rsidP="00433440">
            <w:pPr>
              <w:pStyle w:val="ListParagraph"/>
              <w:ind w:left="0"/>
            </w:pPr>
          </w:p>
        </w:tc>
        <w:tc>
          <w:tcPr>
            <w:tcW w:w="2126" w:type="dxa"/>
          </w:tcPr>
          <w:p w14:paraId="55CBC244" w14:textId="77777777" w:rsidR="00B8232A" w:rsidRPr="0089741D" w:rsidRDefault="00B8232A" w:rsidP="00433440">
            <w:pPr>
              <w:pStyle w:val="ListParagraph"/>
              <w:ind w:left="0"/>
            </w:pPr>
          </w:p>
        </w:tc>
        <w:tc>
          <w:tcPr>
            <w:tcW w:w="3118" w:type="dxa"/>
          </w:tcPr>
          <w:p w14:paraId="04E89960" w14:textId="77777777" w:rsidR="00B8232A" w:rsidRPr="0089741D" w:rsidRDefault="00B8232A" w:rsidP="00433440">
            <w:pPr>
              <w:pStyle w:val="ListParagraph"/>
              <w:ind w:left="0"/>
            </w:pPr>
          </w:p>
        </w:tc>
        <w:tc>
          <w:tcPr>
            <w:tcW w:w="3402" w:type="dxa"/>
          </w:tcPr>
          <w:p w14:paraId="6A50B637" w14:textId="77777777" w:rsidR="00B8232A" w:rsidRPr="0089741D" w:rsidRDefault="00B8232A" w:rsidP="00433440">
            <w:pPr>
              <w:pStyle w:val="ListParagraph"/>
              <w:ind w:left="0"/>
            </w:pPr>
          </w:p>
        </w:tc>
      </w:tr>
      <w:tr w:rsidR="00B8232A" w:rsidRPr="0089741D" w14:paraId="7F884333" w14:textId="77777777" w:rsidTr="00DB13FF">
        <w:trPr>
          <w:trHeight w:val="1132"/>
        </w:trPr>
        <w:tc>
          <w:tcPr>
            <w:tcW w:w="5382" w:type="dxa"/>
          </w:tcPr>
          <w:p w14:paraId="6DB482AE" w14:textId="77777777" w:rsidR="00B8232A" w:rsidRPr="0089741D" w:rsidRDefault="00B8232A" w:rsidP="00B8232A">
            <w:pPr>
              <w:pStyle w:val="ListParagraph"/>
              <w:numPr>
                <w:ilvl w:val="0"/>
                <w:numId w:val="23"/>
              </w:numPr>
              <w:jc w:val="left"/>
            </w:pPr>
            <w:r w:rsidRPr="0089741D">
              <w:t>The service is committed to building the family violence evidence base through quality data collection and contributing to relevant and ethical research initiatives, where possible.</w:t>
            </w:r>
          </w:p>
        </w:tc>
        <w:tc>
          <w:tcPr>
            <w:tcW w:w="1134" w:type="dxa"/>
          </w:tcPr>
          <w:p w14:paraId="410651C2" w14:textId="77777777" w:rsidR="00B8232A" w:rsidRPr="0089741D" w:rsidRDefault="00B8232A" w:rsidP="00433440">
            <w:pPr>
              <w:pStyle w:val="ListParagraph"/>
              <w:ind w:left="33"/>
            </w:pPr>
          </w:p>
        </w:tc>
        <w:tc>
          <w:tcPr>
            <w:tcW w:w="3118" w:type="dxa"/>
          </w:tcPr>
          <w:p w14:paraId="2A7B65C1" w14:textId="77777777" w:rsidR="00B8232A" w:rsidRPr="0089741D" w:rsidRDefault="00B8232A" w:rsidP="00433440">
            <w:pPr>
              <w:pStyle w:val="ListParagraph"/>
              <w:ind w:left="0"/>
            </w:pPr>
          </w:p>
        </w:tc>
        <w:tc>
          <w:tcPr>
            <w:tcW w:w="3261" w:type="dxa"/>
          </w:tcPr>
          <w:p w14:paraId="5AFB74A1" w14:textId="77777777" w:rsidR="00B8232A" w:rsidRPr="0089741D" w:rsidRDefault="00B8232A" w:rsidP="00433440">
            <w:pPr>
              <w:pStyle w:val="ListParagraph"/>
              <w:ind w:left="0"/>
            </w:pPr>
          </w:p>
        </w:tc>
        <w:tc>
          <w:tcPr>
            <w:tcW w:w="2126" w:type="dxa"/>
          </w:tcPr>
          <w:p w14:paraId="7BB62451" w14:textId="77777777" w:rsidR="00B8232A" w:rsidRPr="0089741D" w:rsidRDefault="00B8232A" w:rsidP="00433440">
            <w:pPr>
              <w:pStyle w:val="ListParagraph"/>
              <w:ind w:left="0"/>
            </w:pPr>
          </w:p>
        </w:tc>
        <w:tc>
          <w:tcPr>
            <w:tcW w:w="3118" w:type="dxa"/>
          </w:tcPr>
          <w:p w14:paraId="159C43D8" w14:textId="77777777" w:rsidR="00B8232A" w:rsidRPr="0089741D" w:rsidRDefault="00B8232A" w:rsidP="00433440">
            <w:pPr>
              <w:pStyle w:val="ListParagraph"/>
              <w:ind w:left="0"/>
            </w:pPr>
          </w:p>
        </w:tc>
        <w:tc>
          <w:tcPr>
            <w:tcW w:w="3402" w:type="dxa"/>
          </w:tcPr>
          <w:p w14:paraId="26E3783B" w14:textId="77777777" w:rsidR="00B8232A" w:rsidRPr="0089741D" w:rsidRDefault="00B8232A" w:rsidP="00433440">
            <w:pPr>
              <w:pStyle w:val="ListParagraph"/>
              <w:ind w:left="0"/>
            </w:pPr>
          </w:p>
        </w:tc>
      </w:tr>
      <w:tr w:rsidR="00B8232A" w:rsidRPr="0089741D" w14:paraId="5CE6442E" w14:textId="77777777" w:rsidTr="00DB13FF">
        <w:trPr>
          <w:trHeight w:val="501"/>
        </w:trPr>
        <w:tc>
          <w:tcPr>
            <w:tcW w:w="5382" w:type="dxa"/>
          </w:tcPr>
          <w:p w14:paraId="2986FE94" w14:textId="77777777" w:rsidR="00B8232A" w:rsidRPr="0089741D" w:rsidRDefault="00B8232A" w:rsidP="00B8232A">
            <w:pPr>
              <w:pStyle w:val="ListParagraph"/>
              <w:numPr>
                <w:ilvl w:val="0"/>
                <w:numId w:val="23"/>
              </w:numPr>
              <w:jc w:val="left"/>
            </w:pPr>
            <w:r w:rsidRPr="0089741D">
              <w:t>Client profile data is analysed to identify trends and barriers across diverse community and age group populations to inform service quality and systemic improvements.</w:t>
            </w:r>
          </w:p>
        </w:tc>
        <w:tc>
          <w:tcPr>
            <w:tcW w:w="1134" w:type="dxa"/>
          </w:tcPr>
          <w:p w14:paraId="3AE141C4" w14:textId="77777777" w:rsidR="00B8232A" w:rsidRPr="0089741D" w:rsidRDefault="00B8232A" w:rsidP="00433440">
            <w:pPr>
              <w:pStyle w:val="ListParagraph"/>
              <w:ind w:left="33"/>
            </w:pPr>
          </w:p>
        </w:tc>
        <w:tc>
          <w:tcPr>
            <w:tcW w:w="3118" w:type="dxa"/>
          </w:tcPr>
          <w:p w14:paraId="6EA4D969" w14:textId="77777777" w:rsidR="00B8232A" w:rsidRPr="0089741D" w:rsidRDefault="00B8232A" w:rsidP="00433440">
            <w:pPr>
              <w:pStyle w:val="ListParagraph"/>
              <w:ind w:left="0"/>
            </w:pPr>
          </w:p>
        </w:tc>
        <w:tc>
          <w:tcPr>
            <w:tcW w:w="3261" w:type="dxa"/>
          </w:tcPr>
          <w:p w14:paraId="45358FD9" w14:textId="77777777" w:rsidR="00B8232A" w:rsidRPr="0089741D" w:rsidRDefault="00B8232A" w:rsidP="00433440">
            <w:pPr>
              <w:pStyle w:val="ListParagraph"/>
              <w:ind w:left="0"/>
            </w:pPr>
          </w:p>
        </w:tc>
        <w:tc>
          <w:tcPr>
            <w:tcW w:w="2126" w:type="dxa"/>
          </w:tcPr>
          <w:p w14:paraId="32DC57AB" w14:textId="77777777" w:rsidR="00B8232A" w:rsidRPr="0089741D" w:rsidRDefault="00B8232A" w:rsidP="00433440">
            <w:pPr>
              <w:pStyle w:val="ListParagraph"/>
              <w:ind w:left="0"/>
            </w:pPr>
          </w:p>
        </w:tc>
        <w:tc>
          <w:tcPr>
            <w:tcW w:w="3118" w:type="dxa"/>
          </w:tcPr>
          <w:p w14:paraId="4A1BFACF" w14:textId="77777777" w:rsidR="00B8232A" w:rsidRPr="0089741D" w:rsidRDefault="00B8232A" w:rsidP="00433440">
            <w:pPr>
              <w:pStyle w:val="ListParagraph"/>
              <w:ind w:left="0"/>
            </w:pPr>
          </w:p>
        </w:tc>
        <w:tc>
          <w:tcPr>
            <w:tcW w:w="3402" w:type="dxa"/>
          </w:tcPr>
          <w:p w14:paraId="2E71C02D" w14:textId="77777777" w:rsidR="00B8232A" w:rsidRPr="0089741D" w:rsidRDefault="00B8232A" w:rsidP="00433440">
            <w:pPr>
              <w:pStyle w:val="ListParagraph"/>
              <w:ind w:left="0"/>
            </w:pPr>
          </w:p>
        </w:tc>
      </w:tr>
      <w:tr w:rsidR="00B8232A" w:rsidRPr="0089741D" w14:paraId="451D0E97" w14:textId="77777777" w:rsidTr="00DB13FF">
        <w:trPr>
          <w:trHeight w:val="1132"/>
        </w:trPr>
        <w:tc>
          <w:tcPr>
            <w:tcW w:w="5382" w:type="dxa"/>
          </w:tcPr>
          <w:p w14:paraId="08D27DA5" w14:textId="06C5A12F" w:rsidR="00B8232A" w:rsidRPr="0089741D" w:rsidRDefault="00B8232A" w:rsidP="00B8232A">
            <w:pPr>
              <w:pStyle w:val="ListParagraph"/>
              <w:numPr>
                <w:ilvl w:val="0"/>
                <w:numId w:val="23"/>
              </w:numPr>
              <w:jc w:val="left"/>
            </w:pPr>
            <w:r w:rsidRPr="0089741D">
              <w:t>The service has a culture of raising ideas and uses systematic processes to collect and analyse feedback from clients, workforce, and partners to inform service quality, coordinated responses, and systemic improvements.</w:t>
            </w:r>
          </w:p>
        </w:tc>
        <w:tc>
          <w:tcPr>
            <w:tcW w:w="1134" w:type="dxa"/>
          </w:tcPr>
          <w:p w14:paraId="0E2AC9C2" w14:textId="77777777" w:rsidR="00B8232A" w:rsidRPr="0089741D" w:rsidRDefault="00B8232A" w:rsidP="00433440">
            <w:pPr>
              <w:pStyle w:val="ListParagraph"/>
              <w:ind w:left="33"/>
            </w:pPr>
          </w:p>
        </w:tc>
        <w:tc>
          <w:tcPr>
            <w:tcW w:w="3118" w:type="dxa"/>
          </w:tcPr>
          <w:p w14:paraId="1A8ACE67" w14:textId="77777777" w:rsidR="00B8232A" w:rsidRPr="0089741D" w:rsidRDefault="00B8232A" w:rsidP="00433440">
            <w:pPr>
              <w:pStyle w:val="ListParagraph"/>
              <w:ind w:left="0"/>
            </w:pPr>
          </w:p>
        </w:tc>
        <w:tc>
          <w:tcPr>
            <w:tcW w:w="3261" w:type="dxa"/>
          </w:tcPr>
          <w:p w14:paraId="5A1CFE5D" w14:textId="77777777" w:rsidR="00B8232A" w:rsidRPr="0089741D" w:rsidRDefault="00B8232A" w:rsidP="00433440">
            <w:pPr>
              <w:pStyle w:val="ListParagraph"/>
              <w:ind w:left="0"/>
            </w:pPr>
          </w:p>
        </w:tc>
        <w:tc>
          <w:tcPr>
            <w:tcW w:w="2126" w:type="dxa"/>
          </w:tcPr>
          <w:p w14:paraId="2557116D" w14:textId="77777777" w:rsidR="00B8232A" w:rsidRPr="0089741D" w:rsidRDefault="00B8232A" w:rsidP="00433440">
            <w:pPr>
              <w:pStyle w:val="ListParagraph"/>
              <w:ind w:left="0"/>
            </w:pPr>
          </w:p>
        </w:tc>
        <w:tc>
          <w:tcPr>
            <w:tcW w:w="3118" w:type="dxa"/>
          </w:tcPr>
          <w:p w14:paraId="18443BB2" w14:textId="77777777" w:rsidR="00B8232A" w:rsidRPr="0089741D" w:rsidRDefault="00B8232A" w:rsidP="00433440">
            <w:pPr>
              <w:pStyle w:val="ListParagraph"/>
              <w:ind w:left="0"/>
            </w:pPr>
          </w:p>
        </w:tc>
        <w:tc>
          <w:tcPr>
            <w:tcW w:w="3402" w:type="dxa"/>
          </w:tcPr>
          <w:p w14:paraId="0CB2DEE1" w14:textId="77777777" w:rsidR="00B8232A" w:rsidRPr="0089741D" w:rsidRDefault="00B8232A" w:rsidP="00433440">
            <w:pPr>
              <w:pStyle w:val="ListParagraph"/>
              <w:ind w:left="0"/>
            </w:pPr>
          </w:p>
        </w:tc>
      </w:tr>
    </w:tbl>
    <w:p w14:paraId="543C3315" w14:textId="415F0BB0" w:rsidR="00B8232A" w:rsidRDefault="00B8232A" w:rsidP="00B8232A"/>
    <w:p w14:paraId="76502332" w14:textId="34EC607D" w:rsidR="00B8232A" w:rsidRDefault="00B8232A" w:rsidP="00B8232A">
      <w:pPr>
        <w:pStyle w:val="Heading3"/>
      </w:pPr>
      <w:r>
        <w:t xml:space="preserve">Standard </w:t>
      </w:r>
      <w:r w:rsidRPr="0089741D">
        <w:t>10.4 The service provides leadership and advocacy for systemic and social change.</w:t>
      </w:r>
    </w:p>
    <w:p w14:paraId="7585C8FC" w14:textId="77777777" w:rsidR="00B8232A" w:rsidRPr="0089741D" w:rsidRDefault="00B8232A" w:rsidP="00B8232A">
      <w:r w:rsidRPr="0089741D">
        <w:t xml:space="preserve">HSS: (5) Governance and management </w:t>
      </w:r>
    </w:p>
    <w:p w14:paraId="69DEB6C5" w14:textId="2FC42986" w:rsidR="00B8232A" w:rsidRDefault="00B8232A" w:rsidP="00B8232A">
      <w:r w:rsidRPr="0089741D">
        <w:t>QGF</w:t>
      </w:r>
      <w:r>
        <w:t xml:space="preserve"> domains</w:t>
      </w:r>
      <w:r w:rsidRPr="0089741D">
        <w:t xml:space="preserve">: </w:t>
      </w:r>
      <w:r>
        <w:t>Workforce; Best practice</w:t>
      </w:r>
    </w:p>
    <w:p w14:paraId="1379C223" w14:textId="77777777" w:rsidR="00B8232A" w:rsidRPr="00FD4A08" w:rsidRDefault="00B8232A" w:rsidP="00B8232A"/>
    <w:tbl>
      <w:tblPr>
        <w:tblStyle w:val="TableGridLight"/>
        <w:tblW w:w="21541" w:type="dxa"/>
        <w:tblLook w:val="0020" w:firstRow="1" w:lastRow="0" w:firstColumn="0" w:lastColumn="0" w:noHBand="0" w:noVBand="0"/>
      </w:tblPr>
      <w:tblGrid>
        <w:gridCol w:w="5382"/>
        <w:gridCol w:w="1134"/>
        <w:gridCol w:w="3118"/>
        <w:gridCol w:w="3261"/>
        <w:gridCol w:w="2126"/>
        <w:gridCol w:w="3118"/>
        <w:gridCol w:w="3402"/>
      </w:tblGrid>
      <w:tr w:rsidR="00275EA3" w:rsidRPr="0089741D" w14:paraId="23D36E8E" w14:textId="11DFAE89" w:rsidTr="008C0A87">
        <w:trPr>
          <w:trHeight w:val="229"/>
        </w:trPr>
        <w:tc>
          <w:tcPr>
            <w:tcW w:w="5382" w:type="dxa"/>
            <w:shd w:val="clear" w:color="auto" w:fill="F2F2F2" w:themeFill="background1" w:themeFillShade="F2"/>
          </w:tcPr>
          <w:p w14:paraId="7338187A" w14:textId="4A696F27" w:rsidR="00275EA3" w:rsidRPr="0089741D" w:rsidRDefault="00275EA3" w:rsidP="0091057C">
            <w:bookmarkStart w:id="4" w:name="_Hlk22047929"/>
            <w:r w:rsidRPr="0089741D">
              <w:t>INDICATORS</w:t>
            </w:r>
          </w:p>
        </w:tc>
        <w:tc>
          <w:tcPr>
            <w:tcW w:w="1134" w:type="dxa"/>
            <w:shd w:val="clear" w:color="auto" w:fill="F2F2F2" w:themeFill="background1" w:themeFillShade="F2"/>
          </w:tcPr>
          <w:p w14:paraId="4A0FFF40" w14:textId="496251B8" w:rsidR="00275EA3" w:rsidRPr="0089741D" w:rsidRDefault="00275EA3" w:rsidP="0091057C">
            <w:r w:rsidRPr="0089741D">
              <w:t>RATING</w:t>
            </w:r>
          </w:p>
        </w:tc>
        <w:tc>
          <w:tcPr>
            <w:tcW w:w="3118" w:type="dxa"/>
            <w:shd w:val="clear" w:color="auto" w:fill="F2F2F2" w:themeFill="background1" w:themeFillShade="F2"/>
          </w:tcPr>
          <w:p w14:paraId="62C008B3" w14:textId="0F60966D" w:rsidR="00275EA3" w:rsidRPr="0089741D" w:rsidRDefault="00275EA3" w:rsidP="0091057C">
            <w:r w:rsidRPr="0089741D">
              <w:t>EVIDENCE</w:t>
            </w:r>
          </w:p>
        </w:tc>
        <w:tc>
          <w:tcPr>
            <w:tcW w:w="3261" w:type="dxa"/>
            <w:shd w:val="clear" w:color="auto" w:fill="F2F2F2" w:themeFill="background1" w:themeFillShade="F2"/>
          </w:tcPr>
          <w:p w14:paraId="7C1A9BAE" w14:textId="41AF326F" w:rsidR="00275EA3" w:rsidRPr="0089741D" w:rsidRDefault="00275EA3" w:rsidP="0091057C">
            <w:r w:rsidRPr="0089741D">
              <w:t xml:space="preserve">IMPROVEMENT ACTIONS </w:t>
            </w:r>
          </w:p>
        </w:tc>
        <w:tc>
          <w:tcPr>
            <w:tcW w:w="2126" w:type="dxa"/>
            <w:shd w:val="clear" w:color="auto" w:fill="F2F2F2" w:themeFill="background1" w:themeFillShade="F2"/>
          </w:tcPr>
          <w:p w14:paraId="456772CC" w14:textId="792EA0EA" w:rsidR="00275EA3" w:rsidRPr="0089741D" w:rsidRDefault="00275EA3" w:rsidP="0091057C">
            <w:r w:rsidRPr="0089741D">
              <w:t>TIMEFRAME</w:t>
            </w:r>
          </w:p>
        </w:tc>
        <w:tc>
          <w:tcPr>
            <w:tcW w:w="3118" w:type="dxa"/>
            <w:shd w:val="clear" w:color="auto" w:fill="F2F2F2" w:themeFill="background1" w:themeFillShade="F2"/>
          </w:tcPr>
          <w:p w14:paraId="3F02D8D1" w14:textId="0CE033FC" w:rsidR="00275EA3" w:rsidRPr="0089741D" w:rsidRDefault="00275EA3" w:rsidP="0091057C">
            <w:r w:rsidRPr="0089741D">
              <w:t>PERSON(S) RESPONSIBLE</w:t>
            </w:r>
          </w:p>
        </w:tc>
        <w:tc>
          <w:tcPr>
            <w:tcW w:w="3402" w:type="dxa"/>
            <w:shd w:val="clear" w:color="auto" w:fill="F2F2F2" w:themeFill="background1" w:themeFillShade="F2"/>
          </w:tcPr>
          <w:p w14:paraId="4D377DFC" w14:textId="10371182" w:rsidR="00275EA3" w:rsidRPr="0089741D" w:rsidRDefault="00275EA3" w:rsidP="0091057C">
            <w:r w:rsidRPr="0089741D">
              <w:t>OUTCOME</w:t>
            </w:r>
          </w:p>
        </w:tc>
      </w:tr>
      <w:tr w:rsidR="00275EA3" w:rsidRPr="0089741D" w14:paraId="3984E59D" w14:textId="64E8F992" w:rsidTr="008C0A87">
        <w:trPr>
          <w:trHeight w:val="848"/>
        </w:trPr>
        <w:tc>
          <w:tcPr>
            <w:tcW w:w="5382" w:type="dxa"/>
          </w:tcPr>
          <w:p w14:paraId="09DBC897" w14:textId="3830A043" w:rsidR="00275EA3" w:rsidRPr="0089741D" w:rsidRDefault="00275EA3" w:rsidP="00B8232A">
            <w:pPr>
              <w:pStyle w:val="ListParagraph"/>
              <w:numPr>
                <w:ilvl w:val="0"/>
                <w:numId w:val="24"/>
              </w:numPr>
              <w:jc w:val="left"/>
            </w:pPr>
            <w:bookmarkStart w:id="5" w:name="_Hlk21703672"/>
            <w:r w:rsidRPr="0089741D">
              <w:t>The service participates in regional partnerships, peak body networks and advisory committees (as required) to inform improvements to the specialist family violence response system.</w:t>
            </w:r>
            <w:bookmarkEnd w:id="5"/>
          </w:p>
        </w:tc>
        <w:tc>
          <w:tcPr>
            <w:tcW w:w="1134" w:type="dxa"/>
          </w:tcPr>
          <w:p w14:paraId="4FAB03D3" w14:textId="77777777" w:rsidR="00275EA3" w:rsidRPr="0089741D" w:rsidRDefault="00275EA3" w:rsidP="00433440">
            <w:pPr>
              <w:pStyle w:val="ListParagraph"/>
              <w:ind w:left="0"/>
            </w:pPr>
          </w:p>
        </w:tc>
        <w:tc>
          <w:tcPr>
            <w:tcW w:w="3118" w:type="dxa"/>
          </w:tcPr>
          <w:p w14:paraId="6EBE8D9E" w14:textId="0E384494" w:rsidR="00275EA3" w:rsidRPr="0089741D" w:rsidRDefault="00275EA3" w:rsidP="00433440">
            <w:pPr>
              <w:pStyle w:val="ListParagraph"/>
              <w:ind w:left="0"/>
            </w:pPr>
          </w:p>
        </w:tc>
        <w:tc>
          <w:tcPr>
            <w:tcW w:w="3261" w:type="dxa"/>
          </w:tcPr>
          <w:p w14:paraId="1F4BC9AE" w14:textId="77777777" w:rsidR="00275EA3" w:rsidRPr="0089741D" w:rsidRDefault="00275EA3" w:rsidP="00433440">
            <w:pPr>
              <w:pStyle w:val="ListParagraph"/>
              <w:ind w:left="0"/>
            </w:pPr>
          </w:p>
        </w:tc>
        <w:tc>
          <w:tcPr>
            <w:tcW w:w="2126" w:type="dxa"/>
          </w:tcPr>
          <w:p w14:paraId="566406A6" w14:textId="77777777" w:rsidR="00275EA3" w:rsidRPr="0089741D" w:rsidRDefault="00275EA3" w:rsidP="00433440">
            <w:pPr>
              <w:pStyle w:val="ListParagraph"/>
              <w:ind w:left="0"/>
            </w:pPr>
          </w:p>
        </w:tc>
        <w:tc>
          <w:tcPr>
            <w:tcW w:w="3118" w:type="dxa"/>
          </w:tcPr>
          <w:p w14:paraId="42207553" w14:textId="77777777" w:rsidR="00275EA3" w:rsidRPr="0089741D" w:rsidRDefault="00275EA3" w:rsidP="00433440">
            <w:pPr>
              <w:pStyle w:val="ListParagraph"/>
              <w:ind w:left="0"/>
            </w:pPr>
          </w:p>
        </w:tc>
        <w:tc>
          <w:tcPr>
            <w:tcW w:w="3402" w:type="dxa"/>
          </w:tcPr>
          <w:p w14:paraId="58BB4BC0" w14:textId="77777777" w:rsidR="00275EA3" w:rsidRPr="0089741D" w:rsidRDefault="00275EA3" w:rsidP="00433440">
            <w:pPr>
              <w:pStyle w:val="ListParagraph"/>
              <w:ind w:left="0"/>
            </w:pPr>
          </w:p>
        </w:tc>
      </w:tr>
      <w:tr w:rsidR="00275EA3" w:rsidRPr="0089741D" w14:paraId="6B3849F2" w14:textId="2455EC4E" w:rsidTr="008C0A87">
        <w:trPr>
          <w:trHeight w:val="418"/>
        </w:trPr>
        <w:tc>
          <w:tcPr>
            <w:tcW w:w="5382" w:type="dxa"/>
          </w:tcPr>
          <w:p w14:paraId="18867854" w14:textId="02CE1D06" w:rsidR="00275EA3" w:rsidRPr="0089741D" w:rsidRDefault="00275EA3" w:rsidP="00B8232A">
            <w:pPr>
              <w:pStyle w:val="ListParagraph"/>
              <w:numPr>
                <w:ilvl w:val="0"/>
                <w:numId w:val="24"/>
              </w:numPr>
              <w:jc w:val="left"/>
            </w:pPr>
            <w:r w:rsidRPr="0089741D">
              <w:t>The service engages with credible evidence and expertise to advocate for systemic, policy and legislative changes that benefit the safety of victim-survivors and address perpetrator accountability.</w:t>
            </w:r>
          </w:p>
        </w:tc>
        <w:tc>
          <w:tcPr>
            <w:tcW w:w="1134" w:type="dxa"/>
          </w:tcPr>
          <w:p w14:paraId="79C2DDCB" w14:textId="77777777" w:rsidR="00275EA3" w:rsidRPr="0089741D" w:rsidRDefault="00275EA3" w:rsidP="00433440">
            <w:pPr>
              <w:pStyle w:val="ListParagraph"/>
              <w:ind w:left="0"/>
            </w:pPr>
          </w:p>
        </w:tc>
        <w:tc>
          <w:tcPr>
            <w:tcW w:w="3118" w:type="dxa"/>
          </w:tcPr>
          <w:p w14:paraId="43C3A630" w14:textId="171E5F74" w:rsidR="00275EA3" w:rsidRPr="0089741D" w:rsidRDefault="00275EA3" w:rsidP="00433440">
            <w:pPr>
              <w:pStyle w:val="ListParagraph"/>
              <w:ind w:left="0"/>
            </w:pPr>
          </w:p>
        </w:tc>
        <w:tc>
          <w:tcPr>
            <w:tcW w:w="3261" w:type="dxa"/>
          </w:tcPr>
          <w:p w14:paraId="43CB5994" w14:textId="77777777" w:rsidR="00275EA3" w:rsidRPr="0089741D" w:rsidRDefault="00275EA3" w:rsidP="00433440">
            <w:pPr>
              <w:pStyle w:val="ListParagraph"/>
              <w:ind w:left="0"/>
            </w:pPr>
          </w:p>
        </w:tc>
        <w:tc>
          <w:tcPr>
            <w:tcW w:w="2126" w:type="dxa"/>
          </w:tcPr>
          <w:p w14:paraId="389BC224" w14:textId="77777777" w:rsidR="00275EA3" w:rsidRPr="0089741D" w:rsidRDefault="00275EA3" w:rsidP="00433440">
            <w:pPr>
              <w:pStyle w:val="ListParagraph"/>
              <w:ind w:left="0"/>
            </w:pPr>
          </w:p>
        </w:tc>
        <w:tc>
          <w:tcPr>
            <w:tcW w:w="3118" w:type="dxa"/>
          </w:tcPr>
          <w:p w14:paraId="6206B915" w14:textId="77777777" w:rsidR="00275EA3" w:rsidRPr="0089741D" w:rsidRDefault="00275EA3" w:rsidP="00433440">
            <w:pPr>
              <w:pStyle w:val="ListParagraph"/>
              <w:ind w:left="0"/>
            </w:pPr>
          </w:p>
        </w:tc>
        <w:tc>
          <w:tcPr>
            <w:tcW w:w="3402" w:type="dxa"/>
          </w:tcPr>
          <w:p w14:paraId="0F5720DD" w14:textId="77777777" w:rsidR="00275EA3" w:rsidRPr="0089741D" w:rsidRDefault="00275EA3" w:rsidP="00433440">
            <w:pPr>
              <w:pStyle w:val="ListParagraph"/>
              <w:ind w:left="0"/>
            </w:pPr>
          </w:p>
        </w:tc>
      </w:tr>
      <w:tr w:rsidR="00275EA3" w:rsidRPr="0089741D" w14:paraId="5BCE5EFB" w14:textId="1C947E6D" w:rsidTr="008C0A87">
        <w:trPr>
          <w:trHeight w:val="848"/>
        </w:trPr>
        <w:tc>
          <w:tcPr>
            <w:tcW w:w="5382" w:type="dxa"/>
          </w:tcPr>
          <w:p w14:paraId="68BAC0FF" w14:textId="17E89D0C" w:rsidR="00275EA3" w:rsidRPr="0089741D" w:rsidRDefault="00275EA3" w:rsidP="00B8232A">
            <w:pPr>
              <w:pStyle w:val="ListParagraph"/>
              <w:numPr>
                <w:ilvl w:val="0"/>
                <w:numId w:val="24"/>
              </w:numPr>
              <w:jc w:val="left"/>
            </w:pPr>
            <w:r w:rsidRPr="0089741D">
              <w:t>The service contributes to coalitions, campaigns and media opportunities to advocate for victim-survivor rights and perpetrator accountability.</w:t>
            </w:r>
          </w:p>
        </w:tc>
        <w:tc>
          <w:tcPr>
            <w:tcW w:w="1134" w:type="dxa"/>
          </w:tcPr>
          <w:p w14:paraId="5F8AF44A" w14:textId="77777777" w:rsidR="00275EA3" w:rsidRPr="0089741D" w:rsidRDefault="00275EA3" w:rsidP="00433440">
            <w:pPr>
              <w:pStyle w:val="ListParagraph"/>
              <w:ind w:left="0"/>
            </w:pPr>
          </w:p>
        </w:tc>
        <w:tc>
          <w:tcPr>
            <w:tcW w:w="3118" w:type="dxa"/>
          </w:tcPr>
          <w:p w14:paraId="70CAAC2C" w14:textId="61C9A472" w:rsidR="00275EA3" w:rsidRPr="0089741D" w:rsidRDefault="00275EA3" w:rsidP="00433440">
            <w:pPr>
              <w:pStyle w:val="ListParagraph"/>
              <w:ind w:left="0"/>
            </w:pPr>
          </w:p>
        </w:tc>
        <w:tc>
          <w:tcPr>
            <w:tcW w:w="3261" w:type="dxa"/>
          </w:tcPr>
          <w:p w14:paraId="2A3C0667" w14:textId="77777777" w:rsidR="00275EA3" w:rsidRPr="0089741D" w:rsidRDefault="00275EA3" w:rsidP="00433440">
            <w:pPr>
              <w:pStyle w:val="ListParagraph"/>
              <w:ind w:left="0"/>
            </w:pPr>
          </w:p>
        </w:tc>
        <w:tc>
          <w:tcPr>
            <w:tcW w:w="2126" w:type="dxa"/>
          </w:tcPr>
          <w:p w14:paraId="51C3E0FC" w14:textId="77777777" w:rsidR="00275EA3" w:rsidRPr="0089741D" w:rsidRDefault="00275EA3" w:rsidP="00433440">
            <w:pPr>
              <w:pStyle w:val="ListParagraph"/>
              <w:ind w:left="0"/>
            </w:pPr>
          </w:p>
        </w:tc>
        <w:tc>
          <w:tcPr>
            <w:tcW w:w="3118" w:type="dxa"/>
          </w:tcPr>
          <w:p w14:paraId="4476B356" w14:textId="77777777" w:rsidR="00275EA3" w:rsidRPr="0089741D" w:rsidRDefault="00275EA3" w:rsidP="00433440">
            <w:pPr>
              <w:pStyle w:val="ListParagraph"/>
              <w:ind w:left="0"/>
            </w:pPr>
          </w:p>
        </w:tc>
        <w:tc>
          <w:tcPr>
            <w:tcW w:w="3402" w:type="dxa"/>
          </w:tcPr>
          <w:p w14:paraId="07C2E1A9" w14:textId="77777777" w:rsidR="00275EA3" w:rsidRPr="0089741D" w:rsidRDefault="00275EA3" w:rsidP="00433440">
            <w:pPr>
              <w:pStyle w:val="ListParagraph"/>
              <w:ind w:left="0"/>
            </w:pPr>
          </w:p>
        </w:tc>
      </w:tr>
      <w:tr w:rsidR="00275EA3" w:rsidRPr="0089741D" w14:paraId="2A84276C" w14:textId="5A57BD80" w:rsidTr="008C0A87">
        <w:trPr>
          <w:trHeight w:val="848"/>
        </w:trPr>
        <w:tc>
          <w:tcPr>
            <w:tcW w:w="5382" w:type="dxa"/>
          </w:tcPr>
          <w:p w14:paraId="171E9A8E" w14:textId="77DCEAB6" w:rsidR="00275EA3" w:rsidRPr="0089741D" w:rsidRDefault="00275EA3" w:rsidP="00B8232A">
            <w:pPr>
              <w:pStyle w:val="ListParagraph"/>
              <w:numPr>
                <w:ilvl w:val="0"/>
                <w:numId w:val="24"/>
              </w:numPr>
              <w:jc w:val="left"/>
            </w:pPr>
            <w:r w:rsidRPr="0089741D">
              <w:t>The service contributes to family violence prevention and early intervention strategies by promoting understanding of the family violence evidence base and the gendered and intersectional drivers of family violence.</w:t>
            </w:r>
          </w:p>
        </w:tc>
        <w:tc>
          <w:tcPr>
            <w:tcW w:w="1134" w:type="dxa"/>
          </w:tcPr>
          <w:p w14:paraId="0C1BE51F" w14:textId="77777777" w:rsidR="00275EA3" w:rsidRPr="0089741D" w:rsidRDefault="00275EA3" w:rsidP="00433440">
            <w:pPr>
              <w:pStyle w:val="ListParagraph"/>
              <w:ind w:left="0"/>
            </w:pPr>
          </w:p>
        </w:tc>
        <w:tc>
          <w:tcPr>
            <w:tcW w:w="3118" w:type="dxa"/>
          </w:tcPr>
          <w:p w14:paraId="25319E32" w14:textId="6AD2DAE3" w:rsidR="00275EA3" w:rsidRPr="0089741D" w:rsidRDefault="00275EA3" w:rsidP="00433440">
            <w:pPr>
              <w:pStyle w:val="ListParagraph"/>
              <w:ind w:left="0"/>
            </w:pPr>
          </w:p>
        </w:tc>
        <w:tc>
          <w:tcPr>
            <w:tcW w:w="3261" w:type="dxa"/>
          </w:tcPr>
          <w:p w14:paraId="7B8EA606" w14:textId="77777777" w:rsidR="00275EA3" w:rsidRPr="0089741D" w:rsidRDefault="00275EA3" w:rsidP="00433440">
            <w:pPr>
              <w:pStyle w:val="ListParagraph"/>
              <w:ind w:left="0"/>
            </w:pPr>
          </w:p>
        </w:tc>
        <w:tc>
          <w:tcPr>
            <w:tcW w:w="2126" w:type="dxa"/>
          </w:tcPr>
          <w:p w14:paraId="71F70E1B" w14:textId="77777777" w:rsidR="00275EA3" w:rsidRPr="0089741D" w:rsidRDefault="00275EA3" w:rsidP="00433440">
            <w:pPr>
              <w:pStyle w:val="ListParagraph"/>
              <w:ind w:left="0"/>
            </w:pPr>
          </w:p>
        </w:tc>
        <w:tc>
          <w:tcPr>
            <w:tcW w:w="3118" w:type="dxa"/>
          </w:tcPr>
          <w:p w14:paraId="3421FEB3" w14:textId="77777777" w:rsidR="00275EA3" w:rsidRPr="0089741D" w:rsidRDefault="00275EA3" w:rsidP="00433440">
            <w:pPr>
              <w:pStyle w:val="ListParagraph"/>
              <w:ind w:left="0"/>
            </w:pPr>
          </w:p>
        </w:tc>
        <w:tc>
          <w:tcPr>
            <w:tcW w:w="3402" w:type="dxa"/>
          </w:tcPr>
          <w:p w14:paraId="730DBEAC" w14:textId="77777777" w:rsidR="00275EA3" w:rsidRPr="0089741D" w:rsidRDefault="00275EA3" w:rsidP="00433440">
            <w:pPr>
              <w:pStyle w:val="ListParagraph"/>
              <w:ind w:left="0"/>
            </w:pPr>
          </w:p>
        </w:tc>
      </w:tr>
      <w:bookmarkEnd w:id="4"/>
    </w:tbl>
    <w:p w14:paraId="4BE2BE3B" w14:textId="77777777" w:rsidR="005F58EE" w:rsidRPr="00EA351B" w:rsidRDefault="005F58EE" w:rsidP="0091057C"/>
    <w:sectPr w:rsidR="005F58EE" w:rsidRPr="00EA351B" w:rsidSect="00092D77">
      <w:headerReference w:type="even" r:id="rId9"/>
      <w:headerReference w:type="default" r:id="rId10"/>
      <w:footerReference w:type="default" r:id="rId11"/>
      <w:headerReference w:type="first" r:id="rId12"/>
      <w:pgSz w:w="23811" w:h="16838" w:orient="landscape" w:code="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42A09" w14:textId="77777777" w:rsidR="00DB13FF" w:rsidRDefault="00DB13FF" w:rsidP="0091057C">
      <w:r>
        <w:separator/>
      </w:r>
    </w:p>
  </w:endnote>
  <w:endnote w:type="continuationSeparator" w:id="0">
    <w:p w14:paraId="4525FC0D" w14:textId="77777777" w:rsidR="00DB13FF" w:rsidRDefault="00DB13FF" w:rsidP="00910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Book">
    <w:altName w:val="Times New Roman"/>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587602"/>
      <w:docPartObj>
        <w:docPartGallery w:val="Page Numbers (Bottom of Page)"/>
        <w:docPartUnique/>
      </w:docPartObj>
    </w:sdtPr>
    <w:sdtEndPr>
      <w:rPr>
        <w:noProof/>
      </w:rPr>
    </w:sdtEndPr>
    <w:sdtContent>
      <w:p w14:paraId="1BBD03E4" w14:textId="038E5686" w:rsidR="00DB13FF" w:rsidRDefault="00DB13FF" w:rsidP="0091057C">
        <w:pPr>
          <w:pStyle w:val="Footer"/>
        </w:pPr>
        <w:r>
          <w:fldChar w:fldCharType="begin"/>
        </w:r>
        <w:r>
          <w:instrText xml:space="preserve"> PAGE   \* MERGEFORMAT </w:instrText>
        </w:r>
        <w:r>
          <w:fldChar w:fldCharType="separate"/>
        </w:r>
        <w:r>
          <w:rPr>
            <w:noProof/>
          </w:rPr>
          <w:t>2</w:t>
        </w:r>
        <w:r>
          <w:rPr>
            <w:noProof/>
          </w:rPr>
          <w:fldChar w:fldCharType="end"/>
        </w:r>
      </w:p>
    </w:sdtContent>
  </w:sdt>
  <w:p w14:paraId="6FB6AC02" w14:textId="77777777" w:rsidR="00DB13FF" w:rsidRDefault="00DB13FF" w:rsidP="00910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DC79F" w14:textId="77777777" w:rsidR="00DB13FF" w:rsidRDefault="00DB13FF" w:rsidP="0091057C">
      <w:r>
        <w:separator/>
      </w:r>
    </w:p>
  </w:footnote>
  <w:footnote w:type="continuationSeparator" w:id="0">
    <w:p w14:paraId="05954E60" w14:textId="77777777" w:rsidR="00DB13FF" w:rsidRDefault="00DB13FF" w:rsidP="0091057C">
      <w:r>
        <w:continuationSeparator/>
      </w:r>
    </w:p>
  </w:footnote>
  <w:footnote w:id="1">
    <w:p w14:paraId="72D66681" w14:textId="44C73345" w:rsidR="00DB13FF" w:rsidRPr="00D16F98" w:rsidRDefault="00DB13FF" w:rsidP="0091057C">
      <w:pPr>
        <w:pStyle w:val="FootnoteText"/>
      </w:pPr>
      <w:r w:rsidRPr="00D16F98">
        <w:rPr>
          <w:rStyle w:val="FootnoteReference"/>
        </w:rPr>
        <w:footnoteRef/>
      </w:r>
      <w:r w:rsidRPr="00D16F98">
        <w:t xml:space="preserve"> Family Safety Victoria (2018). </w:t>
      </w:r>
      <w:r w:rsidRPr="005A3352">
        <w:rPr>
          <w:i/>
          <w:iCs/>
        </w:rPr>
        <w:t>Family Violence Multi-Agency Risk Assessment and Management Framework</w:t>
      </w:r>
      <w:r w:rsidRPr="00D16F98">
        <w:t>. Melbourne, Vic: State of Victoria.</w:t>
      </w:r>
    </w:p>
  </w:footnote>
  <w:footnote w:id="2">
    <w:p w14:paraId="262762EB" w14:textId="2906C625" w:rsidR="00DB13FF" w:rsidRDefault="00DB13FF" w:rsidP="0091057C">
      <w:pPr>
        <w:pStyle w:val="FootnoteText"/>
      </w:pPr>
      <w:r w:rsidRPr="00D16F98">
        <w:rPr>
          <w:rStyle w:val="FootnoteReference"/>
        </w:rPr>
        <w:footnoteRef/>
      </w:r>
      <w:r w:rsidRPr="00D16F98">
        <w:t xml:space="preserve"> Department of Health and Human Services (2018). </w:t>
      </w:r>
      <w:r w:rsidRPr="005A3352">
        <w:rPr>
          <w:i/>
          <w:iCs/>
        </w:rPr>
        <w:t>Community Services Quality Governance Framework</w:t>
      </w:r>
      <w:r w:rsidRPr="00D16F98">
        <w:t>. Melbourne, Vic: State of Victoria.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B97B" w14:textId="5970A4E7" w:rsidR="00DB13FF" w:rsidRDefault="00DB13FF" w:rsidP="00910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60D5" w14:textId="51732768" w:rsidR="00DB13FF" w:rsidRDefault="00DB13FF" w:rsidP="00910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F1B7" w14:textId="6AFCE3A7" w:rsidR="00DB13FF" w:rsidRDefault="00DB13FF" w:rsidP="00910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3B0"/>
    <w:multiLevelType w:val="hybridMultilevel"/>
    <w:tmpl w:val="FAB233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B1295D"/>
    <w:multiLevelType w:val="multilevel"/>
    <w:tmpl w:val="E48EC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052FF5"/>
    <w:multiLevelType w:val="hybridMultilevel"/>
    <w:tmpl w:val="A96E754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08861B8"/>
    <w:multiLevelType w:val="multilevel"/>
    <w:tmpl w:val="E48EC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931813"/>
    <w:multiLevelType w:val="multilevel"/>
    <w:tmpl w:val="E48EC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462A7C"/>
    <w:multiLevelType w:val="hybridMultilevel"/>
    <w:tmpl w:val="FE940F4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39301C3"/>
    <w:multiLevelType w:val="hybridMultilevel"/>
    <w:tmpl w:val="9708AD0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53A6537"/>
    <w:multiLevelType w:val="hybridMultilevel"/>
    <w:tmpl w:val="7CF2C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BF434B"/>
    <w:multiLevelType w:val="hybridMultilevel"/>
    <w:tmpl w:val="4054330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84B78DF"/>
    <w:multiLevelType w:val="hybridMultilevel"/>
    <w:tmpl w:val="C3C6284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8B15605"/>
    <w:multiLevelType w:val="multilevel"/>
    <w:tmpl w:val="E48EC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4A042E"/>
    <w:multiLevelType w:val="multilevel"/>
    <w:tmpl w:val="E48EC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474AFB"/>
    <w:multiLevelType w:val="hybridMultilevel"/>
    <w:tmpl w:val="C3C628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64484B"/>
    <w:multiLevelType w:val="hybridMultilevel"/>
    <w:tmpl w:val="C3C628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015C23"/>
    <w:multiLevelType w:val="hybridMultilevel"/>
    <w:tmpl w:val="FAB233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B3020C"/>
    <w:multiLevelType w:val="hybridMultilevel"/>
    <w:tmpl w:val="7A905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2D445F"/>
    <w:multiLevelType w:val="multilevel"/>
    <w:tmpl w:val="E48EC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C916F7"/>
    <w:multiLevelType w:val="multilevel"/>
    <w:tmpl w:val="E48EC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12E4725"/>
    <w:multiLevelType w:val="hybridMultilevel"/>
    <w:tmpl w:val="5896C8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447E5507"/>
    <w:multiLevelType w:val="multilevel"/>
    <w:tmpl w:val="E48EC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5226043"/>
    <w:multiLevelType w:val="hybridMultilevel"/>
    <w:tmpl w:val="62F023D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82153AF"/>
    <w:multiLevelType w:val="hybridMultilevel"/>
    <w:tmpl w:val="69CC1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703C24"/>
    <w:multiLevelType w:val="multilevel"/>
    <w:tmpl w:val="E48EC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DCC5667"/>
    <w:multiLevelType w:val="multilevel"/>
    <w:tmpl w:val="CA3E6B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DDE025C"/>
    <w:multiLevelType w:val="multilevel"/>
    <w:tmpl w:val="E48EC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F0F4579"/>
    <w:multiLevelType w:val="multilevel"/>
    <w:tmpl w:val="E48EC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457568F"/>
    <w:multiLevelType w:val="multilevel"/>
    <w:tmpl w:val="E48EC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5B6E83"/>
    <w:multiLevelType w:val="multilevel"/>
    <w:tmpl w:val="E48EC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A4E2B00"/>
    <w:multiLevelType w:val="multilevel"/>
    <w:tmpl w:val="E48EC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3760197"/>
    <w:multiLevelType w:val="multilevel"/>
    <w:tmpl w:val="E48EC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4320BDA"/>
    <w:multiLevelType w:val="hybridMultilevel"/>
    <w:tmpl w:val="AB2EB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415593"/>
    <w:multiLevelType w:val="hybridMultilevel"/>
    <w:tmpl w:val="5E10EC5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4E73A48"/>
    <w:multiLevelType w:val="hybridMultilevel"/>
    <w:tmpl w:val="596E434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81823EA"/>
    <w:multiLevelType w:val="hybridMultilevel"/>
    <w:tmpl w:val="F44CB25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BE16A48"/>
    <w:multiLevelType w:val="multilevel"/>
    <w:tmpl w:val="E48EC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C512F43"/>
    <w:multiLevelType w:val="multilevel"/>
    <w:tmpl w:val="E48EC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CC925E3"/>
    <w:multiLevelType w:val="hybridMultilevel"/>
    <w:tmpl w:val="4054330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0B51727"/>
    <w:multiLevelType w:val="multilevel"/>
    <w:tmpl w:val="E48EC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F23F69"/>
    <w:multiLevelType w:val="multilevel"/>
    <w:tmpl w:val="E48EC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7F36869"/>
    <w:multiLevelType w:val="multilevel"/>
    <w:tmpl w:val="E48ECF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90039A6"/>
    <w:multiLevelType w:val="hybridMultilevel"/>
    <w:tmpl w:val="A96E754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7"/>
  </w:num>
  <w:num w:numId="2">
    <w:abstractNumId w:val="24"/>
  </w:num>
  <w:num w:numId="3">
    <w:abstractNumId w:val="28"/>
  </w:num>
  <w:num w:numId="4">
    <w:abstractNumId w:val="19"/>
  </w:num>
  <w:num w:numId="5">
    <w:abstractNumId w:val="17"/>
  </w:num>
  <w:num w:numId="6">
    <w:abstractNumId w:val="11"/>
  </w:num>
  <w:num w:numId="7">
    <w:abstractNumId w:val="31"/>
  </w:num>
  <w:num w:numId="8">
    <w:abstractNumId w:val="32"/>
  </w:num>
  <w:num w:numId="9">
    <w:abstractNumId w:val="20"/>
  </w:num>
  <w:num w:numId="10">
    <w:abstractNumId w:val="40"/>
  </w:num>
  <w:num w:numId="11">
    <w:abstractNumId w:val="2"/>
  </w:num>
  <w:num w:numId="12">
    <w:abstractNumId w:val="14"/>
  </w:num>
  <w:num w:numId="13">
    <w:abstractNumId w:val="9"/>
  </w:num>
  <w:num w:numId="14">
    <w:abstractNumId w:val="36"/>
  </w:num>
  <w:num w:numId="15">
    <w:abstractNumId w:val="6"/>
  </w:num>
  <w:num w:numId="16">
    <w:abstractNumId w:val="8"/>
  </w:num>
  <w:num w:numId="17">
    <w:abstractNumId w:val="33"/>
  </w:num>
  <w:num w:numId="18">
    <w:abstractNumId w:val="5"/>
  </w:num>
  <w:num w:numId="19">
    <w:abstractNumId w:val="35"/>
  </w:num>
  <w:num w:numId="20">
    <w:abstractNumId w:val="1"/>
  </w:num>
  <w:num w:numId="21">
    <w:abstractNumId w:val="27"/>
  </w:num>
  <w:num w:numId="22">
    <w:abstractNumId w:val="38"/>
  </w:num>
  <w:num w:numId="23">
    <w:abstractNumId w:val="16"/>
  </w:num>
  <w:num w:numId="24">
    <w:abstractNumId w:val="39"/>
  </w:num>
  <w:num w:numId="25">
    <w:abstractNumId w:val="26"/>
  </w:num>
  <w:num w:numId="26">
    <w:abstractNumId w:val="21"/>
  </w:num>
  <w:num w:numId="27">
    <w:abstractNumId w:val="10"/>
  </w:num>
  <w:num w:numId="28">
    <w:abstractNumId w:val="22"/>
  </w:num>
  <w:num w:numId="29">
    <w:abstractNumId w:val="12"/>
  </w:num>
  <w:num w:numId="30">
    <w:abstractNumId w:val="15"/>
  </w:num>
  <w:num w:numId="31">
    <w:abstractNumId w:val="23"/>
  </w:num>
  <w:num w:numId="32">
    <w:abstractNumId w:val="25"/>
  </w:num>
  <w:num w:numId="33">
    <w:abstractNumId w:val="18"/>
  </w:num>
  <w:num w:numId="34">
    <w:abstractNumId w:val="7"/>
  </w:num>
  <w:num w:numId="35">
    <w:abstractNumId w:val="30"/>
  </w:num>
  <w:num w:numId="36">
    <w:abstractNumId w:val="3"/>
  </w:num>
  <w:num w:numId="37">
    <w:abstractNumId w:val="4"/>
  </w:num>
  <w:num w:numId="38">
    <w:abstractNumId w:val="29"/>
  </w:num>
  <w:num w:numId="39">
    <w:abstractNumId w:val="0"/>
  </w:num>
  <w:num w:numId="40">
    <w:abstractNumId w:val="34"/>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13"/>
    <w:rsid w:val="00012D70"/>
    <w:rsid w:val="00016068"/>
    <w:rsid w:val="0002228F"/>
    <w:rsid w:val="000330AE"/>
    <w:rsid w:val="00057A11"/>
    <w:rsid w:val="00066A5A"/>
    <w:rsid w:val="000851BB"/>
    <w:rsid w:val="00086072"/>
    <w:rsid w:val="00092171"/>
    <w:rsid w:val="00092D77"/>
    <w:rsid w:val="000B2C38"/>
    <w:rsid w:val="00120657"/>
    <w:rsid w:val="0012327D"/>
    <w:rsid w:val="00131824"/>
    <w:rsid w:val="001701EB"/>
    <w:rsid w:val="001905E5"/>
    <w:rsid w:val="001C0E89"/>
    <w:rsid w:val="001C3BD2"/>
    <w:rsid w:val="0020144D"/>
    <w:rsid w:val="0022455C"/>
    <w:rsid w:val="00246A14"/>
    <w:rsid w:val="00260B69"/>
    <w:rsid w:val="00275EA3"/>
    <w:rsid w:val="00280C88"/>
    <w:rsid w:val="0029464B"/>
    <w:rsid w:val="002A1D74"/>
    <w:rsid w:val="002A206A"/>
    <w:rsid w:val="002F12E4"/>
    <w:rsid w:val="002F309E"/>
    <w:rsid w:val="00305227"/>
    <w:rsid w:val="00314CFF"/>
    <w:rsid w:val="003174BF"/>
    <w:rsid w:val="00360199"/>
    <w:rsid w:val="00363AE7"/>
    <w:rsid w:val="003D7D7B"/>
    <w:rsid w:val="003E77CC"/>
    <w:rsid w:val="00420795"/>
    <w:rsid w:val="004245D5"/>
    <w:rsid w:val="004257F9"/>
    <w:rsid w:val="00433440"/>
    <w:rsid w:val="00435255"/>
    <w:rsid w:val="004A7259"/>
    <w:rsid w:val="004B24AB"/>
    <w:rsid w:val="004B37FD"/>
    <w:rsid w:val="004B6766"/>
    <w:rsid w:val="004C66D8"/>
    <w:rsid w:val="004D6370"/>
    <w:rsid w:val="00535C98"/>
    <w:rsid w:val="00585546"/>
    <w:rsid w:val="005A09E4"/>
    <w:rsid w:val="005A3352"/>
    <w:rsid w:val="005C1185"/>
    <w:rsid w:val="005C1210"/>
    <w:rsid w:val="005F2FCB"/>
    <w:rsid w:val="005F58EE"/>
    <w:rsid w:val="006146E0"/>
    <w:rsid w:val="00620499"/>
    <w:rsid w:val="00622805"/>
    <w:rsid w:val="00663F63"/>
    <w:rsid w:val="00664864"/>
    <w:rsid w:val="006734B3"/>
    <w:rsid w:val="00677397"/>
    <w:rsid w:val="00682C15"/>
    <w:rsid w:val="00685DA9"/>
    <w:rsid w:val="006B7BB9"/>
    <w:rsid w:val="006E7477"/>
    <w:rsid w:val="006F5CE4"/>
    <w:rsid w:val="00714705"/>
    <w:rsid w:val="007A2D13"/>
    <w:rsid w:val="007C01CD"/>
    <w:rsid w:val="007D2824"/>
    <w:rsid w:val="007D55DC"/>
    <w:rsid w:val="007D6D79"/>
    <w:rsid w:val="00812335"/>
    <w:rsid w:val="00823E9B"/>
    <w:rsid w:val="00834A69"/>
    <w:rsid w:val="00867E84"/>
    <w:rsid w:val="0089741D"/>
    <w:rsid w:val="008A5774"/>
    <w:rsid w:val="008C0A87"/>
    <w:rsid w:val="008C1EBC"/>
    <w:rsid w:val="008C51B9"/>
    <w:rsid w:val="008F2178"/>
    <w:rsid w:val="0090317A"/>
    <w:rsid w:val="0091057C"/>
    <w:rsid w:val="00915042"/>
    <w:rsid w:val="00924ED3"/>
    <w:rsid w:val="009556AB"/>
    <w:rsid w:val="00974D5B"/>
    <w:rsid w:val="00975593"/>
    <w:rsid w:val="009B32F3"/>
    <w:rsid w:val="009F3373"/>
    <w:rsid w:val="00A055C8"/>
    <w:rsid w:val="00A350B9"/>
    <w:rsid w:val="00A529E9"/>
    <w:rsid w:val="00A66AB9"/>
    <w:rsid w:val="00A7656F"/>
    <w:rsid w:val="00A8225D"/>
    <w:rsid w:val="00B0786E"/>
    <w:rsid w:val="00B22567"/>
    <w:rsid w:val="00B8232A"/>
    <w:rsid w:val="00B9670B"/>
    <w:rsid w:val="00BE25CE"/>
    <w:rsid w:val="00BF2AD5"/>
    <w:rsid w:val="00C45F8D"/>
    <w:rsid w:val="00C51297"/>
    <w:rsid w:val="00C540F3"/>
    <w:rsid w:val="00C70902"/>
    <w:rsid w:val="00C73376"/>
    <w:rsid w:val="00C92142"/>
    <w:rsid w:val="00D16F98"/>
    <w:rsid w:val="00D50222"/>
    <w:rsid w:val="00D73ED8"/>
    <w:rsid w:val="00D76F2D"/>
    <w:rsid w:val="00D8087B"/>
    <w:rsid w:val="00D81A45"/>
    <w:rsid w:val="00DA2150"/>
    <w:rsid w:val="00DA2C76"/>
    <w:rsid w:val="00DB13FF"/>
    <w:rsid w:val="00E23129"/>
    <w:rsid w:val="00E233F9"/>
    <w:rsid w:val="00EA351B"/>
    <w:rsid w:val="00EC0D5A"/>
    <w:rsid w:val="00EE144D"/>
    <w:rsid w:val="00F85673"/>
    <w:rsid w:val="00FB53A9"/>
    <w:rsid w:val="00FC73EB"/>
    <w:rsid w:val="00FD4A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E6CB21B"/>
  <w15:chartTrackingRefBased/>
  <w15:docId w15:val="{9BFB7861-3202-41EE-AA65-AF8EB2C2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57C"/>
    <w:pPr>
      <w:spacing w:after="0" w:line="23" w:lineRule="atLeast"/>
      <w:jc w:val="both"/>
    </w:pPr>
    <w:rPr>
      <w:rFonts w:ascii="Calibri Light" w:eastAsiaTheme="minorEastAsia" w:hAnsi="Calibri Light" w:cs="Calibri Light"/>
      <w:color w:val="323E4F" w:themeColor="text2" w:themeShade="BF"/>
    </w:rPr>
  </w:style>
  <w:style w:type="paragraph" w:styleId="Heading1">
    <w:name w:val="heading 1"/>
    <w:basedOn w:val="Normal"/>
    <w:next w:val="Normal"/>
    <w:link w:val="Heading1Char"/>
    <w:uiPriority w:val="9"/>
    <w:qFormat/>
    <w:rsid w:val="00D50222"/>
    <w:pPr>
      <w:keepNext/>
      <w:keepLines/>
      <w:spacing w:before="240"/>
      <w:outlineLvl w:val="0"/>
    </w:pPr>
    <w:rPr>
      <w:rFonts w:asciiTheme="majorHAnsi" w:eastAsiaTheme="majorEastAsia" w:hAnsiTheme="majorHAnsi" w:cstheme="majorBidi"/>
      <w:b/>
      <w:color w:val="002060"/>
      <w:sz w:val="52"/>
      <w:szCs w:val="32"/>
    </w:rPr>
  </w:style>
  <w:style w:type="paragraph" w:styleId="Heading2">
    <w:name w:val="heading 2"/>
    <w:basedOn w:val="Normal"/>
    <w:next w:val="Normal"/>
    <w:link w:val="Heading2Char"/>
    <w:uiPriority w:val="9"/>
    <w:unhideWhenUsed/>
    <w:qFormat/>
    <w:rsid w:val="00D50222"/>
    <w:pPr>
      <w:keepNext/>
      <w:keepLines/>
      <w:spacing w:before="200" w:after="120"/>
      <w:outlineLvl w:val="1"/>
    </w:pPr>
    <w:rPr>
      <w:rFonts w:eastAsiaTheme="majorEastAsia" w:cstheme="majorBidi"/>
      <w:b/>
      <w:bCs/>
      <w:color w:val="002060"/>
      <w:sz w:val="36"/>
      <w:szCs w:val="26"/>
    </w:rPr>
  </w:style>
  <w:style w:type="paragraph" w:styleId="Heading3">
    <w:name w:val="heading 3"/>
    <w:basedOn w:val="Normal"/>
    <w:next w:val="Normal"/>
    <w:link w:val="Heading3Char"/>
    <w:uiPriority w:val="9"/>
    <w:unhideWhenUsed/>
    <w:qFormat/>
    <w:rsid w:val="0091057C"/>
    <w:pPr>
      <w:keepNext/>
      <w:keepLines/>
      <w:spacing w:before="40"/>
      <w:outlineLvl w:val="2"/>
    </w:pPr>
    <w:rPr>
      <w:rFonts w:asciiTheme="majorHAnsi" w:eastAsiaTheme="majorEastAsia" w:hAnsiTheme="majorHAnsi"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A2D13"/>
    <w:pPr>
      <w:ind w:left="720"/>
      <w:contextualSpacing/>
    </w:pPr>
  </w:style>
  <w:style w:type="character" w:customStyle="1" w:styleId="ListParagraphChar">
    <w:name w:val="List Paragraph Char"/>
    <w:link w:val="ListParagraph"/>
    <w:uiPriority w:val="34"/>
    <w:rsid w:val="007A2D13"/>
    <w:rPr>
      <w:rFonts w:ascii="Gotham Book" w:eastAsiaTheme="minorEastAsia" w:hAnsi="Gotham Book"/>
      <w:color w:val="323E4F" w:themeColor="text2" w:themeShade="BF"/>
    </w:rPr>
  </w:style>
  <w:style w:type="table" w:styleId="TableGridLight">
    <w:name w:val="Grid Table Light"/>
    <w:basedOn w:val="TableNormal"/>
    <w:uiPriority w:val="40"/>
    <w:rsid w:val="007A2D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6734B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4B3"/>
    <w:rPr>
      <w:rFonts w:ascii="Segoe UI" w:eastAsiaTheme="minorEastAsia" w:hAnsi="Segoe UI" w:cs="Segoe UI"/>
      <w:color w:val="323E4F" w:themeColor="text2" w:themeShade="BF"/>
      <w:sz w:val="18"/>
      <w:szCs w:val="18"/>
    </w:rPr>
  </w:style>
  <w:style w:type="paragraph" w:styleId="Header">
    <w:name w:val="header"/>
    <w:basedOn w:val="Normal"/>
    <w:link w:val="HeaderChar"/>
    <w:uiPriority w:val="99"/>
    <w:unhideWhenUsed/>
    <w:rsid w:val="00E23129"/>
    <w:pPr>
      <w:tabs>
        <w:tab w:val="center" w:pos="4513"/>
        <w:tab w:val="right" w:pos="9026"/>
      </w:tabs>
      <w:spacing w:line="240" w:lineRule="auto"/>
    </w:pPr>
  </w:style>
  <w:style w:type="character" w:customStyle="1" w:styleId="HeaderChar">
    <w:name w:val="Header Char"/>
    <w:basedOn w:val="DefaultParagraphFont"/>
    <w:link w:val="Header"/>
    <w:uiPriority w:val="99"/>
    <w:rsid w:val="00E23129"/>
    <w:rPr>
      <w:rFonts w:ascii="Gotham Book" w:eastAsiaTheme="minorEastAsia" w:hAnsi="Gotham Book"/>
      <w:color w:val="323E4F" w:themeColor="text2" w:themeShade="BF"/>
    </w:rPr>
  </w:style>
  <w:style w:type="paragraph" w:styleId="Footer">
    <w:name w:val="footer"/>
    <w:basedOn w:val="Normal"/>
    <w:link w:val="FooterChar"/>
    <w:uiPriority w:val="99"/>
    <w:unhideWhenUsed/>
    <w:rsid w:val="00E23129"/>
    <w:pPr>
      <w:tabs>
        <w:tab w:val="center" w:pos="4513"/>
        <w:tab w:val="right" w:pos="9026"/>
      </w:tabs>
      <w:spacing w:line="240" w:lineRule="auto"/>
    </w:pPr>
  </w:style>
  <w:style w:type="character" w:customStyle="1" w:styleId="FooterChar">
    <w:name w:val="Footer Char"/>
    <w:basedOn w:val="DefaultParagraphFont"/>
    <w:link w:val="Footer"/>
    <w:uiPriority w:val="99"/>
    <w:rsid w:val="00E23129"/>
    <w:rPr>
      <w:rFonts w:ascii="Gotham Book" w:eastAsiaTheme="minorEastAsia" w:hAnsi="Gotham Book"/>
      <w:color w:val="323E4F" w:themeColor="text2" w:themeShade="BF"/>
    </w:rPr>
  </w:style>
  <w:style w:type="paragraph" w:styleId="FootnoteText">
    <w:name w:val="footnote text"/>
    <w:basedOn w:val="Normal"/>
    <w:link w:val="FootnoteTextChar"/>
    <w:uiPriority w:val="99"/>
    <w:unhideWhenUsed/>
    <w:rsid w:val="009B32F3"/>
    <w:pPr>
      <w:spacing w:line="240" w:lineRule="auto"/>
    </w:pPr>
    <w:rPr>
      <w:sz w:val="20"/>
      <w:szCs w:val="20"/>
    </w:rPr>
  </w:style>
  <w:style w:type="character" w:customStyle="1" w:styleId="FootnoteTextChar">
    <w:name w:val="Footnote Text Char"/>
    <w:basedOn w:val="DefaultParagraphFont"/>
    <w:link w:val="FootnoteText"/>
    <w:uiPriority w:val="99"/>
    <w:rsid w:val="009B32F3"/>
    <w:rPr>
      <w:rFonts w:ascii="Gotham Book" w:eastAsiaTheme="minorEastAsia" w:hAnsi="Gotham Book"/>
      <w:color w:val="323E4F" w:themeColor="text2" w:themeShade="BF"/>
      <w:sz w:val="20"/>
      <w:szCs w:val="20"/>
    </w:rPr>
  </w:style>
  <w:style w:type="character" w:styleId="FootnoteReference">
    <w:name w:val="footnote reference"/>
    <w:basedOn w:val="DefaultParagraphFont"/>
    <w:uiPriority w:val="99"/>
    <w:unhideWhenUsed/>
    <w:rsid w:val="009B32F3"/>
    <w:rPr>
      <w:vertAlign w:val="superscript"/>
    </w:rPr>
  </w:style>
  <w:style w:type="character" w:styleId="CommentReference">
    <w:name w:val="annotation reference"/>
    <w:basedOn w:val="DefaultParagraphFont"/>
    <w:uiPriority w:val="99"/>
    <w:semiHidden/>
    <w:unhideWhenUsed/>
    <w:rsid w:val="00FB53A9"/>
    <w:rPr>
      <w:sz w:val="16"/>
      <w:szCs w:val="16"/>
    </w:rPr>
  </w:style>
  <w:style w:type="paragraph" w:styleId="CommentText">
    <w:name w:val="annotation text"/>
    <w:basedOn w:val="Normal"/>
    <w:link w:val="CommentTextChar"/>
    <w:uiPriority w:val="99"/>
    <w:unhideWhenUsed/>
    <w:rsid w:val="00FB53A9"/>
    <w:pPr>
      <w:spacing w:line="240" w:lineRule="auto"/>
    </w:pPr>
    <w:rPr>
      <w:sz w:val="20"/>
      <w:szCs w:val="20"/>
    </w:rPr>
  </w:style>
  <w:style w:type="character" w:customStyle="1" w:styleId="CommentTextChar">
    <w:name w:val="Comment Text Char"/>
    <w:basedOn w:val="DefaultParagraphFont"/>
    <w:link w:val="CommentText"/>
    <w:uiPriority w:val="99"/>
    <w:rsid w:val="00FB53A9"/>
    <w:rPr>
      <w:rFonts w:ascii="Gotham Book" w:eastAsiaTheme="minorEastAsia" w:hAnsi="Gotham Book"/>
      <w:color w:val="323E4F" w:themeColor="text2" w:themeShade="BF"/>
      <w:sz w:val="20"/>
      <w:szCs w:val="20"/>
    </w:rPr>
  </w:style>
  <w:style w:type="paragraph" w:styleId="CommentSubject">
    <w:name w:val="annotation subject"/>
    <w:basedOn w:val="CommentText"/>
    <w:next w:val="CommentText"/>
    <w:link w:val="CommentSubjectChar"/>
    <w:uiPriority w:val="99"/>
    <w:semiHidden/>
    <w:unhideWhenUsed/>
    <w:rsid w:val="00FB53A9"/>
    <w:rPr>
      <w:b/>
      <w:bCs/>
    </w:rPr>
  </w:style>
  <w:style w:type="character" w:customStyle="1" w:styleId="CommentSubjectChar">
    <w:name w:val="Comment Subject Char"/>
    <w:basedOn w:val="CommentTextChar"/>
    <w:link w:val="CommentSubject"/>
    <w:uiPriority w:val="99"/>
    <w:semiHidden/>
    <w:rsid w:val="00FB53A9"/>
    <w:rPr>
      <w:rFonts w:ascii="Gotham Book" w:eastAsiaTheme="minorEastAsia" w:hAnsi="Gotham Book"/>
      <w:b/>
      <w:bCs/>
      <w:color w:val="323E4F" w:themeColor="text2" w:themeShade="BF"/>
      <w:sz w:val="20"/>
      <w:szCs w:val="20"/>
    </w:rPr>
  </w:style>
  <w:style w:type="character" w:customStyle="1" w:styleId="Heading2Char">
    <w:name w:val="Heading 2 Char"/>
    <w:basedOn w:val="DefaultParagraphFont"/>
    <w:link w:val="Heading2"/>
    <w:uiPriority w:val="9"/>
    <w:rsid w:val="00D50222"/>
    <w:rPr>
      <w:rFonts w:ascii="Calibri Light" w:eastAsiaTheme="majorEastAsia" w:hAnsi="Calibri Light" w:cstheme="majorBidi"/>
      <w:b/>
      <w:bCs/>
      <w:color w:val="002060"/>
      <w:sz w:val="36"/>
      <w:szCs w:val="26"/>
    </w:rPr>
  </w:style>
  <w:style w:type="character" w:customStyle="1" w:styleId="Heading1Char">
    <w:name w:val="Heading 1 Char"/>
    <w:basedOn w:val="DefaultParagraphFont"/>
    <w:link w:val="Heading1"/>
    <w:uiPriority w:val="9"/>
    <w:rsid w:val="00D50222"/>
    <w:rPr>
      <w:rFonts w:asciiTheme="majorHAnsi" w:eastAsiaTheme="majorEastAsia" w:hAnsiTheme="majorHAnsi" w:cstheme="majorBidi"/>
      <w:b/>
      <w:color w:val="002060"/>
      <w:sz w:val="52"/>
      <w:szCs w:val="32"/>
    </w:rPr>
  </w:style>
  <w:style w:type="character" w:customStyle="1" w:styleId="Heading3Char">
    <w:name w:val="Heading 3 Char"/>
    <w:basedOn w:val="DefaultParagraphFont"/>
    <w:link w:val="Heading3"/>
    <w:uiPriority w:val="9"/>
    <w:rsid w:val="0091057C"/>
    <w:rPr>
      <w:rFonts w:asciiTheme="majorHAnsi" w:eastAsiaTheme="majorEastAsia" w:hAnsiTheme="majorHAnsi" w:cstheme="majorBidi"/>
      <w:b/>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97DC6-1ED9-4186-9C4E-0EC44ADC2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15</Pages>
  <Words>4950</Words>
  <Characters>28218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Davis</dc:creator>
  <cp:keywords/>
  <dc:description/>
  <cp:lastModifiedBy>Meredith Eldridge</cp:lastModifiedBy>
  <cp:revision>9</cp:revision>
  <cp:lastPrinted>2020-01-14T23:07:00Z</cp:lastPrinted>
  <dcterms:created xsi:type="dcterms:W3CDTF">2020-07-05T05:51:00Z</dcterms:created>
  <dcterms:modified xsi:type="dcterms:W3CDTF">2021-06-29T08:48:00Z</dcterms:modified>
</cp:coreProperties>
</file>